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96621" w14:textId="77777777" w:rsidR="003E2E49" w:rsidRDefault="003E2E49" w:rsidP="00FC7399"/>
    <w:p w14:paraId="3A8A0A41" w14:textId="77777777" w:rsidR="00FC7399" w:rsidRDefault="00FC7399" w:rsidP="00FC7399"/>
    <w:p w14:paraId="1E9B718B" w14:textId="1BBB9F3B" w:rsidR="007204B5" w:rsidRPr="007204B5" w:rsidRDefault="007204B5" w:rsidP="007204B5">
      <w:pPr>
        <w:pStyle w:val="Header"/>
        <w:jc w:val="center"/>
        <w:rPr>
          <w:sz w:val="40"/>
          <w:szCs w:val="40"/>
        </w:rPr>
      </w:pPr>
      <w:r w:rsidRPr="007204B5">
        <w:rPr>
          <w:sz w:val="40"/>
          <w:szCs w:val="40"/>
        </w:rPr>
        <w:t xml:space="preserve">CliniSync </w:t>
      </w:r>
      <w:r w:rsidR="00B40903">
        <w:rPr>
          <w:sz w:val="40"/>
          <w:szCs w:val="40"/>
        </w:rPr>
        <w:t xml:space="preserve">Stakeholder </w:t>
      </w:r>
      <w:r w:rsidRPr="007204B5">
        <w:rPr>
          <w:sz w:val="40"/>
          <w:szCs w:val="40"/>
        </w:rPr>
        <w:t>Compliance Effort</w:t>
      </w:r>
    </w:p>
    <w:p w14:paraId="0E2CF4BB" w14:textId="46EE7C17" w:rsidR="007204B5" w:rsidRPr="007204B5" w:rsidRDefault="007204B5" w:rsidP="007204B5">
      <w:pPr>
        <w:pStyle w:val="Header"/>
        <w:jc w:val="center"/>
      </w:pPr>
      <w:r w:rsidRPr="007204B5">
        <w:t>for</w:t>
      </w:r>
    </w:p>
    <w:p w14:paraId="2DFABA91" w14:textId="77777777" w:rsidR="007204B5" w:rsidRPr="00185A4F" w:rsidRDefault="007204B5" w:rsidP="007204B5">
      <w:pPr>
        <w:pStyle w:val="Header"/>
        <w:jc w:val="center"/>
        <w:rPr>
          <w:b/>
          <w:bCs/>
          <w:sz w:val="44"/>
          <w:szCs w:val="44"/>
        </w:rPr>
      </w:pPr>
      <w:r w:rsidRPr="00185A4F">
        <w:rPr>
          <w:b/>
          <w:bCs/>
          <w:sz w:val="44"/>
          <w:szCs w:val="44"/>
        </w:rPr>
        <w:t>Ohio Department of Health</w:t>
      </w:r>
    </w:p>
    <w:p w14:paraId="44013E0A" w14:textId="11D1857D" w:rsidR="007204B5" w:rsidRPr="00185A4F" w:rsidRDefault="007204B5" w:rsidP="007204B5">
      <w:pPr>
        <w:pStyle w:val="Header"/>
        <w:jc w:val="center"/>
        <w:rPr>
          <w:b/>
          <w:bCs/>
          <w:sz w:val="44"/>
          <w:szCs w:val="44"/>
        </w:rPr>
      </w:pPr>
      <w:r w:rsidRPr="00185A4F">
        <w:rPr>
          <w:b/>
          <w:bCs/>
          <w:sz w:val="44"/>
          <w:szCs w:val="44"/>
        </w:rPr>
        <w:t>Emergency Department Overdose Reporting Rule</w:t>
      </w:r>
    </w:p>
    <w:p w14:paraId="13356EDF" w14:textId="77777777" w:rsidR="007204B5" w:rsidRPr="007204B5" w:rsidRDefault="007204B5" w:rsidP="007204B5">
      <w:pPr>
        <w:pStyle w:val="Header"/>
        <w:jc w:val="center"/>
        <w:rPr>
          <w:sz w:val="44"/>
          <w:szCs w:val="44"/>
        </w:rPr>
      </w:pPr>
    </w:p>
    <w:p w14:paraId="09E63E21" w14:textId="3E24301F" w:rsidR="007204B5" w:rsidRPr="007204B5" w:rsidRDefault="007204B5" w:rsidP="007204B5">
      <w:pPr>
        <w:pStyle w:val="Header"/>
        <w:jc w:val="center"/>
      </w:pPr>
      <w:r w:rsidRPr="00DE7C91">
        <w:t xml:space="preserve">Version: April </w:t>
      </w:r>
      <w:r w:rsidR="00DE7C91" w:rsidRPr="00DE7C91">
        <w:t>29</w:t>
      </w:r>
      <w:r w:rsidRPr="00DE7C91">
        <w:t>, 2024</w:t>
      </w:r>
    </w:p>
    <w:p w14:paraId="3541EADD" w14:textId="77777777" w:rsidR="007204B5" w:rsidRPr="007204B5" w:rsidRDefault="007204B5" w:rsidP="007204B5">
      <w:pPr>
        <w:pStyle w:val="Header"/>
      </w:pPr>
    </w:p>
    <w:p w14:paraId="5E95E99B" w14:textId="531B6550" w:rsidR="007204B5" w:rsidRPr="007204B5" w:rsidRDefault="00FB16FB" w:rsidP="007204B5">
      <w:pPr>
        <w:pStyle w:val="Header"/>
      </w:pPr>
      <w:r>
        <w:t xml:space="preserve">Please Direct </w:t>
      </w:r>
      <w:r w:rsidR="007204B5" w:rsidRPr="007204B5">
        <w:t xml:space="preserve">All Inquiries To: Phil Ennen; </w:t>
      </w:r>
      <w:hyperlink r:id="rId7" w:history="1">
        <w:r w:rsidR="007204B5" w:rsidRPr="007204B5">
          <w:rPr>
            <w:rStyle w:val="Hyperlink"/>
          </w:rPr>
          <w:t>pennen@ohiponline.org</w:t>
        </w:r>
      </w:hyperlink>
    </w:p>
    <w:p w14:paraId="63D4F250" w14:textId="77777777" w:rsidR="007204B5" w:rsidRDefault="007204B5" w:rsidP="007204B5">
      <w:pPr>
        <w:pStyle w:val="Header"/>
        <w:pBdr>
          <w:bottom w:val="single" w:sz="6" w:space="1" w:color="auto"/>
        </w:pBdr>
      </w:pPr>
    </w:p>
    <w:p w14:paraId="0710289B" w14:textId="77777777" w:rsidR="0099169F" w:rsidRPr="007204B5" w:rsidRDefault="0099169F" w:rsidP="007204B5">
      <w:pPr>
        <w:pStyle w:val="Header"/>
      </w:pPr>
    </w:p>
    <w:p w14:paraId="152C5894" w14:textId="77777777" w:rsidR="0099169F" w:rsidRDefault="007204B5" w:rsidP="0099169F">
      <w:pPr>
        <w:contextualSpacing/>
        <w:rPr>
          <w:sz w:val="16"/>
          <w:szCs w:val="16"/>
        </w:rPr>
      </w:pPr>
      <w:r w:rsidRPr="0099169F">
        <w:rPr>
          <w:sz w:val="16"/>
          <w:szCs w:val="16"/>
        </w:rPr>
        <w:t>On March 25, 2024, the Ohio General Assembly’s Joint Committee on Agency Rule approved OAC 3701-3-16 for the reporting of non-fatal drug overdoses to ODH by E</w:t>
      </w:r>
      <w:r w:rsidR="0099169F" w:rsidRPr="0099169F">
        <w:rPr>
          <w:sz w:val="16"/>
          <w:szCs w:val="16"/>
        </w:rPr>
        <w:t xml:space="preserve">mergency </w:t>
      </w:r>
      <w:r w:rsidRPr="0099169F">
        <w:rPr>
          <w:sz w:val="16"/>
          <w:szCs w:val="16"/>
        </w:rPr>
        <w:t>D</w:t>
      </w:r>
      <w:r w:rsidR="0099169F" w:rsidRPr="0099169F">
        <w:rPr>
          <w:sz w:val="16"/>
          <w:szCs w:val="16"/>
        </w:rPr>
        <w:t>epartment</w:t>
      </w:r>
      <w:r w:rsidRPr="0099169F">
        <w:rPr>
          <w:sz w:val="16"/>
          <w:szCs w:val="16"/>
        </w:rPr>
        <w:t xml:space="preserve">s. The effective date </w:t>
      </w:r>
      <w:r w:rsidR="0099169F" w:rsidRPr="0099169F">
        <w:rPr>
          <w:sz w:val="16"/>
          <w:szCs w:val="16"/>
        </w:rPr>
        <w:t xml:space="preserve">is </w:t>
      </w:r>
      <w:r w:rsidRPr="0099169F">
        <w:rPr>
          <w:sz w:val="16"/>
          <w:szCs w:val="16"/>
        </w:rPr>
        <w:t>April 8, 2024.</w:t>
      </w:r>
    </w:p>
    <w:p w14:paraId="299D6970" w14:textId="77777777" w:rsidR="0099169F" w:rsidRDefault="0099169F" w:rsidP="0099169F">
      <w:pPr>
        <w:contextualSpacing/>
        <w:rPr>
          <w:sz w:val="16"/>
          <w:szCs w:val="16"/>
        </w:rPr>
      </w:pPr>
    </w:p>
    <w:p w14:paraId="6F8E1674" w14:textId="77777777" w:rsidR="0099169F" w:rsidRDefault="0099169F" w:rsidP="0099169F">
      <w:pPr>
        <w:contextualSpacing/>
        <w:rPr>
          <w:b/>
          <w:bCs/>
          <w:sz w:val="16"/>
          <w:szCs w:val="16"/>
          <w:u w:val="single"/>
        </w:rPr>
      </w:pPr>
      <w:r w:rsidRPr="0099169F">
        <w:rPr>
          <w:b/>
          <w:bCs/>
          <w:sz w:val="16"/>
          <w:szCs w:val="16"/>
          <w:u w:val="single"/>
        </w:rPr>
        <w:t>Ohio Revised Code (O.A.C.) Chapter 3701-3-16 – Reporting Drug Overdose (OAC 3701-3-16)</w:t>
      </w:r>
    </w:p>
    <w:p w14:paraId="307AC718" w14:textId="126CB5FB" w:rsidR="0099169F" w:rsidRPr="0099169F" w:rsidRDefault="0099169F" w:rsidP="0099169F">
      <w:pPr>
        <w:contextualSpacing/>
        <w:rPr>
          <w:sz w:val="16"/>
          <w:szCs w:val="16"/>
        </w:rPr>
      </w:pPr>
      <w:r w:rsidRPr="0099169F">
        <w:rPr>
          <w:sz w:val="16"/>
          <w:szCs w:val="16"/>
        </w:rPr>
        <w:t>Ohio Administrative Code (OAC) 3701-3-16 is a new rule intended to collect data on non-fatal overdose encounters by establishing individual non-fatal overdoses as a reportable health condition by emergency departments. This rule establishes a definition for a dedicated emergency department, requires a dedicated emergency department to report non-fatal overdoses, prescribes how this information is to be reported, and categorizes the information reported as a result of this rule as protected health information. This rule also contains an appendix intended to establish patient diagnosis codes for overdoses.</w:t>
      </w:r>
    </w:p>
    <w:p w14:paraId="7134ADAC" w14:textId="77777777" w:rsidR="0099169F" w:rsidRPr="0099169F" w:rsidRDefault="0099169F" w:rsidP="0099169F">
      <w:pPr>
        <w:pStyle w:val="NormalWeb"/>
        <w:spacing w:before="0" w:beforeAutospacing="0" w:after="0" w:afterAutospacing="0"/>
        <w:contextualSpacing/>
        <w:rPr>
          <w:rFonts w:ascii="Calibri" w:hAnsi="Calibri" w:cs="Calibri"/>
          <w:sz w:val="16"/>
          <w:szCs w:val="16"/>
        </w:rPr>
      </w:pPr>
      <w:r w:rsidRPr="0099169F">
        <w:rPr>
          <w:sz w:val="16"/>
          <w:szCs w:val="16"/>
        </w:rPr>
        <w:t> </w:t>
      </w:r>
    </w:p>
    <w:p w14:paraId="0CF7840B" w14:textId="77777777" w:rsidR="0099169F" w:rsidRPr="0099169F" w:rsidRDefault="0099169F" w:rsidP="0099169F">
      <w:pPr>
        <w:pStyle w:val="NormalWeb"/>
        <w:spacing w:before="0" w:beforeAutospacing="0" w:after="0" w:afterAutospacing="0"/>
        <w:rPr>
          <w:rFonts w:ascii="Calibri" w:hAnsi="Calibri" w:cs="Calibri"/>
          <w:sz w:val="16"/>
          <w:szCs w:val="16"/>
        </w:rPr>
      </w:pPr>
      <w:r w:rsidRPr="0099169F">
        <w:rPr>
          <w:rFonts w:ascii="Calibri" w:hAnsi="Calibri" w:cs="Calibri"/>
          <w:sz w:val="16"/>
          <w:szCs w:val="16"/>
        </w:rPr>
        <w:t xml:space="preserve">Here is the link to the version that ODH filed - </w:t>
      </w:r>
      <w:hyperlink r:id="rId8" w:history="1">
        <w:r w:rsidRPr="0099169F">
          <w:rPr>
            <w:rStyle w:val="Hyperlink"/>
            <w:rFonts w:ascii="Calibri" w:hAnsi="Calibri" w:cs="Calibri"/>
            <w:color w:val="467886"/>
            <w:sz w:val="16"/>
            <w:szCs w:val="16"/>
          </w:rPr>
          <w:t>https://www.registerofohio.state.oh.us/rules/search/details/340504</w:t>
        </w:r>
      </w:hyperlink>
    </w:p>
    <w:p w14:paraId="2CB39DA4" w14:textId="77777777" w:rsidR="0099169F" w:rsidRDefault="0099169F" w:rsidP="0099169F">
      <w:pPr>
        <w:pStyle w:val="NormalWeb"/>
        <w:spacing w:before="0" w:beforeAutospacing="0" w:after="0" w:afterAutospacing="0"/>
        <w:rPr>
          <w:rFonts w:ascii="Calibri" w:hAnsi="Calibri" w:cs="Calibri"/>
          <w:b/>
          <w:bCs/>
          <w:sz w:val="16"/>
          <w:szCs w:val="16"/>
          <w:u w:val="single"/>
        </w:rPr>
      </w:pPr>
    </w:p>
    <w:p w14:paraId="589CAEF1" w14:textId="427C1161" w:rsidR="0099169F" w:rsidRPr="0099169F" w:rsidRDefault="0099169F" w:rsidP="0099169F">
      <w:pPr>
        <w:pStyle w:val="NormalWeb"/>
        <w:spacing w:before="0" w:beforeAutospacing="0" w:after="0" w:afterAutospacing="0"/>
        <w:rPr>
          <w:rFonts w:ascii="Calibri" w:hAnsi="Calibri" w:cs="Calibri"/>
          <w:sz w:val="16"/>
          <w:szCs w:val="16"/>
        </w:rPr>
      </w:pPr>
      <w:r w:rsidRPr="0099169F">
        <w:rPr>
          <w:rFonts w:ascii="Calibri" w:hAnsi="Calibri" w:cs="Calibri"/>
          <w:b/>
          <w:bCs/>
          <w:sz w:val="16"/>
          <w:szCs w:val="16"/>
          <w:u w:val="single"/>
        </w:rPr>
        <w:t>CliniSync Will Carry Out Fully Compliant Reporting for ALL Stakeholder members who meet the definition for a dedicated emergency department.</w:t>
      </w:r>
    </w:p>
    <w:p w14:paraId="0DF04A04" w14:textId="32DCC6F1" w:rsidR="0099169F" w:rsidRPr="0099169F" w:rsidRDefault="0099169F" w:rsidP="0099169F">
      <w:pPr>
        <w:pStyle w:val="NormalWeb"/>
        <w:spacing w:before="0" w:beforeAutospacing="0" w:after="0" w:afterAutospacing="0"/>
        <w:rPr>
          <w:rFonts w:ascii="Calibri" w:hAnsi="Calibri" w:cs="Calibri"/>
          <w:sz w:val="16"/>
          <w:szCs w:val="16"/>
        </w:rPr>
      </w:pPr>
      <w:r w:rsidRPr="0099169F">
        <w:rPr>
          <w:rFonts w:ascii="Calibri" w:hAnsi="Calibri" w:cs="Calibri"/>
          <w:sz w:val="16"/>
          <w:szCs w:val="16"/>
        </w:rPr>
        <w:t>CliniSync has been coordinating efforts with the Ohio Department of Health technology group to establish a method for CliniSync to report these cases to ODH on behalf</w:t>
      </w:r>
      <w:r>
        <w:rPr>
          <w:rFonts w:ascii="Calibri" w:hAnsi="Calibri" w:cs="Calibri"/>
          <w:sz w:val="16"/>
          <w:szCs w:val="16"/>
        </w:rPr>
        <w:t xml:space="preserve"> of all our stakeholder member health systems and hospitals</w:t>
      </w:r>
      <w:r w:rsidRPr="0099169F">
        <w:rPr>
          <w:rFonts w:ascii="Calibri" w:hAnsi="Calibri" w:cs="Calibri"/>
          <w:sz w:val="16"/>
          <w:szCs w:val="16"/>
        </w:rPr>
        <w:t>. </w:t>
      </w:r>
      <w:r w:rsidR="00A04EF9">
        <w:rPr>
          <w:rFonts w:ascii="Calibri" w:hAnsi="Calibri" w:cs="Calibri"/>
          <w:sz w:val="16"/>
          <w:szCs w:val="16"/>
        </w:rPr>
        <w:t xml:space="preserve"> </w:t>
      </w:r>
      <w:r w:rsidR="00A04EF9" w:rsidRPr="00293A45">
        <w:rPr>
          <w:rFonts w:ascii="Calibri" w:hAnsi="Calibri" w:cs="Calibri"/>
          <w:sz w:val="16"/>
          <w:szCs w:val="16"/>
        </w:rPr>
        <w:t xml:space="preserve">We </w:t>
      </w:r>
      <w:r w:rsidR="005D72D9" w:rsidRPr="00293A45">
        <w:rPr>
          <w:rFonts w:ascii="Calibri" w:hAnsi="Calibri" w:cs="Calibri"/>
          <w:sz w:val="16"/>
          <w:szCs w:val="16"/>
        </w:rPr>
        <w:t xml:space="preserve">can do this work for our stakeholders because it is an allowable function  under our Public Health Activity Policy. </w:t>
      </w:r>
      <w:r w:rsidRPr="00293A45">
        <w:rPr>
          <w:rFonts w:ascii="Calibri" w:eastAsia="Times New Roman" w:hAnsi="Calibri" w:cs="Calibri"/>
          <w:sz w:val="16"/>
          <w:szCs w:val="16"/>
        </w:rPr>
        <w:t>CliniSync has evaluated the data, primarily ICD-</w:t>
      </w:r>
      <w:r w:rsidRPr="0099169F">
        <w:rPr>
          <w:rFonts w:ascii="Calibri" w:eastAsia="Times New Roman" w:hAnsi="Calibri" w:cs="Calibri"/>
          <w:sz w:val="16"/>
          <w:szCs w:val="16"/>
        </w:rPr>
        <w:t xml:space="preserve">10 coding and ER encounter type.  </w:t>
      </w:r>
      <w:r w:rsidR="00265A50">
        <w:rPr>
          <w:rFonts w:ascii="Calibri" w:eastAsia="Times New Roman" w:hAnsi="Calibri" w:cs="Calibri"/>
          <w:sz w:val="16"/>
          <w:szCs w:val="16"/>
        </w:rPr>
        <w:t>We have established efforts to continually monitor</w:t>
      </w:r>
      <w:r w:rsidR="00B16B80">
        <w:rPr>
          <w:rFonts w:ascii="Calibri" w:eastAsia="Times New Roman" w:hAnsi="Calibri" w:cs="Calibri"/>
          <w:sz w:val="16"/>
          <w:szCs w:val="16"/>
        </w:rPr>
        <w:t xml:space="preserve"> and </w:t>
      </w:r>
      <w:r w:rsidRPr="0099169F">
        <w:rPr>
          <w:rFonts w:ascii="Calibri" w:eastAsia="Times New Roman" w:hAnsi="Calibri" w:cs="Calibri"/>
          <w:sz w:val="16"/>
          <w:szCs w:val="16"/>
        </w:rPr>
        <w:t xml:space="preserve">validate </w:t>
      </w:r>
      <w:r w:rsidR="00B16B80">
        <w:rPr>
          <w:rFonts w:ascii="Calibri" w:eastAsia="Times New Roman" w:hAnsi="Calibri" w:cs="Calibri"/>
          <w:sz w:val="16"/>
          <w:szCs w:val="16"/>
        </w:rPr>
        <w:t xml:space="preserve">that </w:t>
      </w:r>
      <w:r w:rsidRPr="0099169F">
        <w:rPr>
          <w:rFonts w:ascii="Calibri" w:eastAsia="Times New Roman" w:hAnsi="Calibri" w:cs="Calibri"/>
          <w:sz w:val="16"/>
          <w:szCs w:val="16"/>
        </w:rPr>
        <w:t>every source organization is providing the proper DG1 segment supporting encounter information.</w:t>
      </w:r>
      <w:r w:rsidRPr="007204B5">
        <w:rPr>
          <w:rFonts w:ascii="Calibri" w:eastAsia="Times New Roman" w:hAnsi="Calibri" w:cs="Calibri"/>
        </w:rPr>
        <w:t xml:space="preserve"> </w:t>
      </w:r>
      <w:r w:rsidRPr="0099169F">
        <w:rPr>
          <w:rFonts w:ascii="Calibri" w:hAnsi="Calibri" w:cs="Calibri"/>
          <w:sz w:val="16"/>
          <w:szCs w:val="16"/>
        </w:rPr>
        <w:t xml:space="preserve"> </w:t>
      </w:r>
      <w:r w:rsidR="00B16B80">
        <w:rPr>
          <w:rFonts w:ascii="Calibri" w:hAnsi="Calibri" w:cs="Calibri"/>
          <w:sz w:val="16"/>
          <w:szCs w:val="16"/>
        </w:rPr>
        <w:t xml:space="preserve">We will contact </w:t>
      </w:r>
      <w:r w:rsidR="00E12AC7">
        <w:rPr>
          <w:rFonts w:ascii="Calibri" w:hAnsi="Calibri" w:cs="Calibri"/>
          <w:sz w:val="16"/>
          <w:szCs w:val="16"/>
        </w:rPr>
        <w:t>stakeholder Health Systems and Hospitals</w:t>
      </w:r>
      <w:r w:rsidR="00B16B80">
        <w:rPr>
          <w:rFonts w:ascii="Calibri" w:hAnsi="Calibri" w:cs="Calibri"/>
          <w:sz w:val="16"/>
          <w:szCs w:val="16"/>
        </w:rPr>
        <w:t xml:space="preserve"> </w:t>
      </w:r>
      <w:r w:rsidR="00E12AC7">
        <w:rPr>
          <w:rFonts w:ascii="Calibri" w:hAnsi="Calibri" w:cs="Calibri"/>
          <w:sz w:val="16"/>
          <w:szCs w:val="16"/>
        </w:rPr>
        <w:t xml:space="preserve">when we identify that we are not </w:t>
      </w:r>
      <w:r>
        <w:rPr>
          <w:rFonts w:ascii="Calibri" w:hAnsi="Calibri" w:cs="Calibri"/>
          <w:sz w:val="16"/>
          <w:szCs w:val="16"/>
        </w:rPr>
        <w:t xml:space="preserve">receiving all </w:t>
      </w:r>
      <w:r w:rsidR="003215B1">
        <w:rPr>
          <w:rFonts w:ascii="Calibri" w:hAnsi="Calibri" w:cs="Calibri"/>
          <w:sz w:val="16"/>
          <w:szCs w:val="16"/>
        </w:rPr>
        <w:t>the necessary</w:t>
      </w:r>
      <w:r>
        <w:rPr>
          <w:rFonts w:ascii="Calibri" w:hAnsi="Calibri" w:cs="Calibri"/>
          <w:sz w:val="16"/>
          <w:szCs w:val="16"/>
        </w:rPr>
        <w:t xml:space="preserve"> information.  </w:t>
      </w:r>
    </w:p>
    <w:p w14:paraId="56543599" w14:textId="77777777" w:rsidR="0099169F" w:rsidRPr="0099169F" w:rsidRDefault="0099169F" w:rsidP="0099169F">
      <w:pPr>
        <w:pStyle w:val="NormalWeb"/>
        <w:spacing w:before="0" w:beforeAutospacing="0" w:after="0" w:afterAutospacing="0"/>
        <w:rPr>
          <w:rFonts w:ascii="Calibri" w:hAnsi="Calibri" w:cs="Calibri"/>
          <w:sz w:val="16"/>
          <w:szCs w:val="16"/>
        </w:rPr>
      </w:pPr>
      <w:r w:rsidRPr="0099169F">
        <w:rPr>
          <w:rFonts w:ascii="Calibri" w:hAnsi="Calibri" w:cs="Calibri"/>
          <w:sz w:val="16"/>
          <w:szCs w:val="16"/>
        </w:rPr>
        <w:t> </w:t>
      </w:r>
    </w:p>
    <w:p w14:paraId="7799069F" w14:textId="77777777" w:rsidR="0099169F" w:rsidRPr="0099169F" w:rsidRDefault="0099169F" w:rsidP="0099169F">
      <w:pPr>
        <w:pStyle w:val="NormalWeb"/>
        <w:spacing w:before="0" w:beforeAutospacing="0" w:after="0" w:afterAutospacing="0"/>
        <w:rPr>
          <w:rFonts w:ascii="Calibri" w:hAnsi="Calibri" w:cs="Calibri"/>
          <w:sz w:val="16"/>
          <w:szCs w:val="16"/>
        </w:rPr>
      </w:pPr>
      <w:r w:rsidRPr="0099169F">
        <w:rPr>
          <w:rFonts w:ascii="Calibri" w:hAnsi="Calibri" w:cs="Calibri"/>
          <w:b/>
          <w:bCs/>
          <w:sz w:val="16"/>
          <w:szCs w:val="16"/>
          <w:u w:val="single"/>
        </w:rPr>
        <w:t>ALTERNATIVE: OPT-OUT and SELF-REPORT</w:t>
      </w:r>
    </w:p>
    <w:p w14:paraId="6CA10095" w14:textId="0ABD07A3" w:rsidR="0099169F" w:rsidRPr="0099169F" w:rsidRDefault="0099169F" w:rsidP="0099169F">
      <w:pPr>
        <w:pStyle w:val="NormalWeb"/>
        <w:spacing w:before="0" w:beforeAutospacing="0" w:after="0" w:afterAutospacing="0"/>
        <w:rPr>
          <w:rFonts w:ascii="Calibri" w:hAnsi="Calibri" w:cs="Calibri"/>
          <w:sz w:val="16"/>
          <w:szCs w:val="16"/>
        </w:rPr>
      </w:pPr>
      <w:r w:rsidRPr="0099169F">
        <w:rPr>
          <w:rFonts w:ascii="Calibri" w:hAnsi="Calibri" w:cs="Calibri"/>
          <w:sz w:val="16"/>
          <w:szCs w:val="16"/>
        </w:rPr>
        <w:t xml:space="preserve">CliniSync will do this reporting for every stakeholder member, </w:t>
      </w:r>
      <w:r w:rsidRPr="003215B1">
        <w:rPr>
          <w:rFonts w:ascii="Calibri" w:hAnsi="Calibri" w:cs="Calibri"/>
          <w:i/>
          <w:iCs/>
          <w:sz w:val="16"/>
          <w:szCs w:val="16"/>
        </w:rPr>
        <w:t>UNLESS</w:t>
      </w:r>
      <w:r w:rsidRPr="0099169F">
        <w:rPr>
          <w:rFonts w:ascii="Calibri" w:hAnsi="Calibri" w:cs="Calibri"/>
          <w:sz w:val="16"/>
          <w:szCs w:val="16"/>
        </w:rPr>
        <w:t xml:space="preserve"> the stakeholder documents to CliniSync that their organization will self-report cases to the Ohio Department of Health and therefore OPTS-OUT of CliniSync reporting. Every organization that selects the OPT OUT must complete the statement and submit it to </w:t>
      </w:r>
      <w:hyperlink r:id="rId9" w:history="1">
        <w:r w:rsidRPr="0099169F">
          <w:rPr>
            <w:rStyle w:val="Hyperlink"/>
            <w:rFonts w:ascii="Calibri" w:hAnsi="Calibri" w:cs="Calibri"/>
            <w:sz w:val="16"/>
            <w:szCs w:val="16"/>
          </w:rPr>
          <w:t>pennen@ohiponline.org</w:t>
        </w:r>
      </w:hyperlink>
      <w:r w:rsidRPr="0099169F">
        <w:rPr>
          <w:rFonts w:ascii="Calibri" w:hAnsi="Calibri" w:cs="Calibri"/>
          <w:sz w:val="16"/>
          <w:szCs w:val="16"/>
        </w:rPr>
        <w:t>. CliniSync will reply and acknowledge receipt of the OPT OUT and will communicate your organization’s intention to self-report to ODH.</w:t>
      </w:r>
    </w:p>
    <w:p w14:paraId="50E34244" w14:textId="5DC9A2D1" w:rsidR="0099169F" w:rsidRPr="0099169F" w:rsidRDefault="0099169F" w:rsidP="00FB16FB">
      <w:pPr>
        <w:pStyle w:val="NormalWeb"/>
        <w:spacing w:before="0" w:beforeAutospacing="0" w:after="0" w:afterAutospacing="0"/>
        <w:rPr>
          <w:sz w:val="16"/>
          <w:szCs w:val="16"/>
        </w:rPr>
      </w:pPr>
      <w:r w:rsidRPr="0099169F">
        <w:rPr>
          <w:sz w:val="16"/>
          <w:szCs w:val="16"/>
        </w:rPr>
        <w:t xml:space="preserve">You can access the </w:t>
      </w:r>
      <w:hyperlink r:id="rId10" w:history="1">
        <w:r w:rsidRPr="0099169F">
          <w:rPr>
            <w:rStyle w:val="Hyperlink"/>
            <w:sz w:val="16"/>
            <w:szCs w:val="16"/>
          </w:rPr>
          <w:t>OPT OUT FORM</w:t>
        </w:r>
      </w:hyperlink>
      <w:r w:rsidRPr="0099169F">
        <w:rPr>
          <w:sz w:val="16"/>
          <w:szCs w:val="16"/>
        </w:rPr>
        <w:t xml:space="preserve"> here:  </w:t>
      </w:r>
      <w:hyperlink r:id="rId11" w:history="1">
        <w:r w:rsidRPr="0099169F">
          <w:rPr>
            <w:rStyle w:val="Hyperlink"/>
            <w:sz w:val="16"/>
            <w:szCs w:val="16"/>
          </w:rPr>
          <w:t>https://clinisync.org/wp-content/uploads/2024/02/ODH-Overdose-Rule-CliniSync-Opt-Out-Form.pdf</w:t>
        </w:r>
      </w:hyperlink>
    </w:p>
    <w:p w14:paraId="7088483D" w14:textId="77777777" w:rsidR="007204B5" w:rsidRPr="0099169F" w:rsidRDefault="007204B5" w:rsidP="0099169F">
      <w:pPr>
        <w:rPr>
          <w:sz w:val="16"/>
          <w:szCs w:val="16"/>
        </w:rPr>
      </w:pPr>
    </w:p>
    <w:p w14:paraId="6AE8A611" w14:textId="77777777" w:rsidR="007204B5" w:rsidRDefault="007204B5" w:rsidP="00FC7399"/>
    <w:p w14:paraId="77D01D4D" w14:textId="77777777" w:rsidR="00FB16FB" w:rsidRDefault="00FB16FB" w:rsidP="00FC7399"/>
    <w:p w14:paraId="3ED9ACFC" w14:textId="77777777" w:rsidR="006714FA" w:rsidRDefault="006714FA" w:rsidP="00FC7399"/>
    <w:p w14:paraId="5F71AAFE" w14:textId="77777777" w:rsidR="006714FA" w:rsidRDefault="006714FA" w:rsidP="00FC7399"/>
    <w:p w14:paraId="3B8B4C07" w14:textId="77777777" w:rsidR="006714FA" w:rsidRDefault="006714FA" w:rsidP="00FC7399"/>
    <w:p w14:paraId="49C1270B" w14:textId="77777777" w:rsidR="006714FA" w:rsidRDefault="006714FA" w:rsidP="00FC7399"/>
    <w:p w14:paraId="3061D510" w14:textId="77777777" w:rsidR="006714FA" w:rsidRDefault="006714FA" w:rsidP="00FC7399"/>
    <w:p w14:paraId="5506D93E" w14:textId="77777777" w:rsidR="006714FA" w:rsidRDefault="006714FA" w:rsidP="00FC7399"/>
    <w:p w14:paraId="7754A570" w14:textId="77777777" w:rsidR="006714FA" w:rsidRDefault="006714FA" w:rsidP="00FC7399"/>
    <w:p w14:paraId="2C8C9658" w14:textId="77777777" w:rsidR="006714FA" w:rsidRDefault="006714FA" w:rsidP="00FC7399"/>
    <w:p w14:paraId="7EDD8FF7" w14:textId="77777777" w:rsidR="006714FA" w:rsidRDefault="006714FA" w:rsidP="00FC7399"/>
    <w:p w14:paraId="4698748B" w14:textId="77777777" w:rsidR="006714FA" w:rsidRDefault="006714FA" w:rsidP="00FC7399"/>
    <w:p w14:paraId="7B6D36D6" w14:textId="77777777" w:rsidR="006714FA" w:rsidRDefault="006714FA" w:rsidP="00FC7399"/>
    <w:p w14:paraId="7DE791C4" w14:textId="77777777" w:rsidR="006714FA" w:rsidRDefault="006714FA" w:rsidP="00FC7399"/>
    <w:p w14:paraId="6DD6224F" w14:textId="77777777" w:rsidR="00FB16FB" w:rsidRPr="00FB16FB" w:rsidRDefault="00FB16FB" w:rsidP="00FB16FB">
      <w:pPr>
        <w:pStyle w:val="Header"/>
        <w:jc w:val="center"/>
        <w:rPr>
          <w:b/>
          <w:bCs/>
          <w:sz w:val="28"/>
          <w:szCs w:val="28"/>
          <w:u w:val="single"/>
        </w:rPr>
      </w:pPr>
      <w:r w:rsidRPr="00FB16FB">
        <w:rPr>
          <w:b/>
          <w:bCs/>
          <w:sz w:val="28"/>
          <w:szCs w:val="28"/>
          <w:u w:val="single"/>
        </w:rPr>
        <w:lastRenderedPageBreak/>
        <w:t>Frequently Asked Questions</w:t>
      </w:r>
    </w:p>
    <w:p w14:paraId="47801DED" w14:textId="38760A66" w:rsidR="007204B5" w:rsidRDefault="00FB16FB" w:rsidP="00FB16FB">
      <w:pPr>
        <w:jc w:val="center"/>
        <w:rPr>
          <w:i/>
          <w:iCs/>
          <w:sz w:val="24"/>
          <w:szCs w:val="24"/>
        </w:rPr>
      </w:pPr>
      <w:r w:rsidRPr="00FB16FB">
        <w:rPr>
          <w:i/>
          <w:iCs/>
          <w:sz w:val="24"/>
          <w:szCs w:val="24"/>
        </w:rPr>
        <w:t>We have compiled a list of frequently asked questions.</w:t>
      </w:r>
    </w:p>
    <w:p w14:paraId="5D51BE1A" w14:textId="6F5771A9" w:rsidR="003071E7" w:rsidRPr="00FB16FB" w:rsidRDefault="003071E7" w:rsidP="00FB16FB">
      <w:pPr>
        <w:jc w:val="center"/>
        <w:rPr>
          <w:i/>
          <w:iCs/>
          <w:sz w:val="24"/>
          <w:szCs w:val="24"/>
        </w:rPr>
      </w:pPr>
      <w:r>
        <w:rPr>
          <w:i/>
          <w:iCs/>
          <w:sz w:val="24"/>
          <w:szCs w:val="24"/>
        </w:rPr>
        <w:t>We intend to update the FAQs as often as possible.</w:t>
      </w:r>
    </w:p>
    <w:p w14:paraId="2DDBB2A2" w14:textId="77777777" w:rsidR="00FB16FB" w:rsidRDefault="00FB16FB" w:rsidP="00FC7399">
      <w:pPr>
        <w:rPr>
          <w:sz w:val="24"/>
          <w:szCs w:val="24"/>
        </w:rPr>
      </w:pPr>
    </w:p>
    <w:p w14:paraId="56B3638E" w14:textId="77777777" w:rsidR="00FB16FB" w:rsidRPr="00FB16FB" w:rsidRDefault="00FB16FB" w:rsidP="00FC7399">
      <w:pPr>
        <w:rPr>
          <w:sz w:val="24"/>
          <w:szCs w:val="24"/>
        </w:rPr>
      </w:pPr>
    </w:p>
    <w:p w14:paraId="20753FE6" w14:textId="1AADDBC0" w:rsidR="007204B5" w:rsidRPr="007204B5" w:rsidRDefault="007204B5" w:rsidP="007204B5">
      <w:pPr>
        <w:pStyle w:val="ListParagraph"/>
        <w:numPr>
          <w:ilvl w:val="0"/>
          <w:numId w:val="2"/>
        </w:numPr>
        <w:contextualSpacing w:val="0"/>
        <w:rPr>
          <w:rFonts w:eastAsia="Times New Roman"/>
          <w:b/>
          <w:bCs/>
        </w:rPr>
      </w:pPr>
      <w:r w:rsidRPr="007204B5">
        <w:rPr>
          <w:rFonts w:eastAsia="Times New Roman"/>
          <w:b/>
          <w:bCs/>
        </w:rPr>
        <w:t xml:space="preserve">Can you explain how this works?  </w:t>
      </w:r>
      <w:r w:rsidR="00FB16FB">
        <w:rPr>
          <w:rFonts w:eastAsia="Times New Roman"/>
          <w:b/>
          <w:bCs/>
        </w:rPr>
        <w:t>W</w:t>
      </w:r>
      <w:r w:rsidRPr="007204B5">
        <w:rPr>
          <w:rFonts w:eastAsia="Times New Roman"/>
          <w:b/>
          <w:bCs/>
        </w:rPr>
        <w:t xml:space="preserve">hat messages you are using to gather the data and how it is being submitted to ODH. Would you gather your information from ADTs, ORUs, CCDs etc.?  </w:t>
      </w:r>
    </w:p>
    <w:p w14:paraId="5A43C5F0" w14:textId="20BAC249" w:rsidR="007204B5" w:rsidRPr="00FB16FB" w:rsidRDefault="007204B5" w:rsidP="007204B5">
      <w:pPr>
        <w:pStyle w:val="ListParagraph"/>
        <w:numPr>
          <w:ilvl w:val="1"/>
          <w:numId w:val="2"/>
        </w:numPr>
        <w:contextualSpacing w:val="0"/>
        <w:rPr>
          <w:rFonts w:eastAsia="Times New Roman"/>
          <w:i/>
          <w:iCs/>
          <w:sz w:val="20"/>
          <w:szCs w:val="20"/>
        </w:rPr>
      </w:pPr>
      <w:r w:rsidRPr="00FB16FB">
        <w:rPr>
          <w:i/>
          <w:iCs/>
          <w:sz w:val="20"/>
          <w:szCs w:val="20"/>
        </w:rPr>
        <w:t xml:space="preserve">The primary sources of data are the HL7 data feeds CliniSync receives from all the hospitals and health systems we work with.  The two specific feeds used are the ADT and Lab messages.  CliniSync will review the messages for any coded ER events for a patient diagnosed with a nonfatal poisoning as set forth in Appendix A of the rule.  The format to report is required by ODH. It is patient level for those patients that are identified as having an overdose based upon the definitions in the rule.  CliniSync will produce the file for ODH and upload it to the SFTP folder that ODH has set up on their server, set up specifically for </w:t>
      </w:r>
      <w:r w:rsidR="006714FA" w:rsidRPr="00FB16FB">
        <w:rPr>
          <w:i/>
          <w:iCs/>
          <w:sz w:val="20"/>
          <w:szCs w:val="20"/>
        </w:rPr>
        <w:t>Overdose</w:t>
      </w:r>
      <w:r w:rsidRPr="00FB16FB">
        <w:rPr>
          <w:i/>
          <w:iCs/>
          <w:sz w:val="20"/>
          <w:szCs w:val="20"/>
        </w:rPr>
        <w:t xml:space="preserve"> reporting. The process will be different than other reportables for ODH as their systems are</w:t>
      </w:r>
      <w:r w:rsidR="004A46BE">
        <w:rPr>
          <w:i/>
          <w:iCs/>
          <w:sz w:val="20"/>
          <w:szCs w:val="20"/>
        </w:rPr>
        <w:t xml:space="preserve"> not </w:t>
      </w:r>
      <w:r w:rsidRPr="00FB16FB">
        <w:rPr>
          <w:i/>
          <w:iCs/>
          <w:sz w:val="20"/>
          <w:szCs w:val="20"/>
        </w:rPr>
        <w:t xml:space="preserve">set up to receive these files such as ELRs, so the format is specific for the Overdose reporting. </w:t>
      </w:r>
    </w:p>
    <w:p w14:paraId="3E302344" w14:textId="77777777" w:rsidR="007204B5" w:rsidRPr="007204B5" w:rsidRDefault="007204B5" w:rsidP="007204B5"/>
    <w:p w14:paraId="4D2112FA" w14:textId="253D5D47" w:rsidR="007204B5" w:rsidRPr="007204B5" w:rsidRDefault="007204B5" w:rsidP="007204B5">
      <w:pPr>
        <w:rPr>
          <w:rFonts w:eastAsia="Times New Roman"/>
        </w:rPr>
      </w:pPr>
      <w:r w:rsidRPr="007204B5">
        <w:t> </w:t>
      </w:r>
    </w:p>
    <w:p w14:paraId="19003BFD" w14:textId="3759BBE0" w:rsidR="00FB16FB" w:rsidRPr="00FB16FB" w:rsidRDefault="00FB16FB" w:rsidP="00FB16FB">
      <w:pPr>
        <w:pStyle w:val="ListParagraph"/>
        <w:numPr>
          <w:ilvl w:val="0"/>
          <w:numId w:val="2"/>
        </w:numPr>
        <w:contextualSpacing w:val="0"/>
        <w:rPr>
          <w:b/>
          <w:bCs/>
        </w:rPr>
      </w:pPr>
      <w:r w:rsidRPr="00FB16FB">
        <w:rPr>
          <w:rFonts w:eastAsia="Times New Roman"/>
          <w:b/>
          <w:bCs/>
        </w:rPr>
        <w:t>Are you able to advise which data feed this will be pulling from (e.g. ADT)? We have multiple feeds and want to make sure we understand the process?  </w:t>
      </w:r>
      <w:r w:rsidRPr="00FB16FB">
        <w:rPr>
          <w:b/>
          <w:bCs/>
        </w:rPr>
        <w:t xml:space="preserve"> </w:t>
      </w:r>
    </w:p>
    <w:p w14:paraId="781CCD51" w14:textId="06162D22" w:rsidR="00FB16FB" w:rsidRPr="00FB16FB" w:rsidRDefault="00FB16FB" w:rsidP="00FB16FB">
      <w:pPr>
        <w:pStyle w:val="ListParagraph"/>
        <w:numPr>
          <w:ilvl w:val="1"/>
          <w:numId w:val="5"/>
        </w:numPr>
        <w:contextualSpacing w:val="0"/>
        <w:rPr>
          <w:rFonts w:eastAsia="Times New Roman"/>
          <w:i/>
          <w:iCs/>
          <w:sz w:val="20"/>
          <w:szCs w:val="20"/>
        </w:rPr>
      </w:pPr>
      <w:r w:rsidRPr="00FB16FB">
        <w:rPr>
          <w:i/>
          <w:iCs/>
          <w:sz w:val="20"/>
          <w:szCs w:val="20"/>
        </w:rPr>
        <w:t>The feeds are incoming HL7 ADT and Lab feeds</w:t>
      </w:r>
      <w:r w:rsidR="00A65CD7">
        <w:rPr>
          <w:i/>
          <w:iCs/>
          <w:sz w:val="20"/>
          <w:szCs w:val="20"/>
        </w:rPr>
        <w:t>.</w:t>
      </w:r>
      <w:r w:rsidRPr="00FB16FB">
        <w:rPr>
          <w:i/>
          <w:iCs/>
          <w:sz w:val="20"/>
          <w:szCs w:val="20"/>
        </w:rPr>
        <w:t xml:space="preserve"> </w:t>
      </w:r>
      <w:r w:rsidR="00A65CD7">
        <w:rPr>
          <w:i/>
          <w:iCs/>
          <w:sz w:val="20"/>
          <w:szCs w:val="20"/>
        </w:rPr>
        <w:t>I</w:t>
      </w:r>
      <w:r w:rsidRPr="00FB16FB">
        <w:rPr>
          <w:i/>
          <w:iCs/>
          <w:sz w:val="20"/>
          <w:szCs w:val="20"/>
        </w:rPr>
        <w:t>t is not dependent on any specific services.</w:t>
      </w:r>
    </w:p>
    <w:p w14:paraId="1898E214" w14:textId="77777777" w:rsidR="00FB16FB" w:rsidRDefault="00FB16FB" w:rsidP="00FB16FB"/>
    <w:p w14:paraId="390A2005" w14:textId="26C96E4A" w:rsidR="00FB16FB" w:rsidRPr="00FB16FB" w:rsidRDefault="00FB16FB" w:rsidP="00FB16FB">
      <w:pPr>
        <w:rPr>
          <w:rFonts w:eastAsia="Times New Roman"/>
        </w:rPr>
      </w:pPr>
      <w:r w:rsidRPr="007204B5">
        <w:t xml:space="preserve">  </w:t>
      </w:r>
    </w:p>
    <w:p w14:paraId="18BA1660" w14:textId="77777777" w:rsidR="00FB16FB" w:rsidRDefault="00FB16FB" w:rsidP="00FB16FB">
      <w:pPr>
        <w:pStyle w:val="ListParagraph"/>
        <w:numPr>
          <w:ilvl w:val="0"/>
          <w:numId w:val="2"/>
        </w:numPr>
        <w:contextualSpacing w:val="0"/>
        <w:rPr>
          <w:rFonts w:eastAsia="Times New Roman"/>
          <w:b/>
          <w:bCs/>
        </w:rPr>
      </w:pPr>
      <w:r w:rsidRPr="00FB16FB">
        <w:rPr>
          <w:rFonts w:eastAsia="Times New Roman"/>
          <w:b/>
          <w:bCs/>
        </w:rPr>
        <w:t xml:space="preserve">Is there going to be testing/validation completed to ensure each ED location is sending data appropriately? </w:t>
      </w:r>
      <w:r>
        <w:rPr>
          <w:rFonts w:eastAsia="Times New Roman"/>
          <w:b/>
          <w:bCs/>
        </w:rPr>
        <w:t>We w</w:t>
      </w:r>
      <w:r w:rsidRPr="00FB16FB">
        <w:rPr>
          <w:rFonts w:eastAsia="Times New Roman"/>
          <w:b/>
          <w:bCs/>
        </w:rPr>
        <w:t xml:space="preserve">ant to confirm the workflow/documentation in the EDs are optimal. </w:t>
      </w:r>
    </w:p>
    <w:p w14:paraId="2FDADD17" w14:textId="218C7E35" w:rsidR="00FB16FB" w:rsidRPr="003071E7" w:rsidRDefault="00FB16FB" w:rsidP="003071E7">
      <w:pPr>
        <w:pStyle w:val="ListParagraph"/>
        <w:numPr>
          <w:ilvl w:val="0"/>
          <w:numId w:val="7"/>
        </w:numPr>
        <w:contextualSpacing w:val="0"/>
        <w:rPr>
          <w:rFonts w:eastAsia="Times New Roman"/>
          <w:i/>
          <w:iCs/>
        </w:rPr>
      </w:pPr>
      <w:r w:rsidRPr="003071E7">
        <w:rPr>
          <w:rFonts w:eastAsia="Times New Roman"/>
          <w:i/>
          <w:iCs/>
          <w:sz w:val="20"/>
          <w:szCs w:val="20"/>
        </w:rPr>
        <w:t xml:space="preserve">CliniSync has evaluated the data, primarily ICD-10 coding and ER encounter type.  </w:t>
      </w:r>
      <w:r w:rsidR="005D2C8C">
        <w:rPr>
          <w:rFonts w:eastAsia="Times New Roman"/>
          <w:i/>
          <w:iCs/>
          <w:sz w:val="20"/>
          <w:szCs w:val="20"/>
        </w:rPr>
        <w:t>W</w:t>
      </w:r>
      <w:r w:rsidRPr="003071E7">
        <w:rPr>
          <w:rFonts w:eastAsia="Times New Roman"/>
          <w:i/>
          <w:iCs/>
          <w:sz w:val="20"/>
          <w:szCs w:val="20"/>
        </w:rPr>
        <w:t xml:space="preserve">e have </w:t>
      </w:r>
      <w:r w:rsidR="005D2C8C">
        <w:rPr>
          <w:rFonts w:eastAsia="Times New Roman"/>
          <w:i/>
          <w:iCs/>
          <w:sz w:val="20"/>
          <w:szCs w:val="20"/>
        </w:rPr>
        <w:t xml:space="preserve">been and will continuously </w:t>
      </w:r>
      <w:r w:rsidRPr="003071E7">
        <w:rPr>
          <w:rFonts w:eastAsia="Times New Roman"/>
          <w:i/>
          <w:iCs/>
          <w:sz w:val="20"/>
          <w:szCs w:val="20"/>
        </w:rPr>
        <w:t xml:space="preserve">validate </w:t>
      </w:r>
      <w:r w:rsidR="006E4FA1">
        <w:rPr>
          <w:rFonts w:eastAsia="Times New Roman"/>
          <w:i/>
          <w:iCs/>
          <w:sz w:val="20"/>
          <w:szCs w:val="20"/>
        </w:rPr>
        <w:t xml:space="preserve">that </w:t>
      </w:r>
      <w:r w:rsidRPr="003071E7">
        <w:rPr>
          <w:rFonts w:eastAsia="Times New Roman"/>
          <w:i/>
          <w:iCs/>
          <w:sz w:val="20"/>
          <w:szCs w:val="20"/>
        </w:rPr>
        <w:t>every source organization is providing the proper DG1 segment supporting encounter information.</w:t>
      </w:r>
    </w:p>
    <w:p w14:paraId="462FFBD9" w14:textId="77777777" w:rsidR="00FB16FB" w:rsidRDefault="00FB16FB" w:rsidP="00FB16FB">
      <w:pPr>
        <w:rPr>
          <w:rFonts w:eastAsia="Times New Roman"/>
          <w:sz w:val="20"/>
          <w:szCs w:val="20"/>
        </w:rPr>
      </w:pPr>
    </w:p>
    <w:p w14:paraId="1964D8BE" w14:textId="6195AD8E" w:rsidR="00FB16FB" w:rsidRPr="00FB16FB" w:rsidRDefault="00FB16FB" w:rsidP="00FB16FB">
      <w:pPr>
        <w:rPr>
          <w:rFonts w:eastAsia="Times New Roman"/>
        </w:rPr>
      </w:pPr>
      <w:r w:rsidRPr="00FB16FB">
        <w:rPr>
          <w:rFonts w:eastAsia="Times New Roman"/>
          <w:i/>
          <w:iCs/>
          <w:sz w:val="20"/>
          <w:szCs w:val="20"/>
        </w:rPr>
        <w:t xml:space="preserve">  </w:t>
      </w:r>
    </w:p>
    <w:p w14:paraId="5CAB09DD" w14:textId="6524D859" w:rsidR="00FC7399" w:rsidRPr="00FB16FB" w:rsidRDefault="00FC7399" w:rsidP="00FB16FB">
      <w:pPr>
        <w:pStyle w:val="ListParagraph"/>
        <w:numPr>
          <w:ilvl w:val="0"/>
          <w:numId w:val="5"/>
        </w:numPr>
        <w:contextualSpacing w:val="0"/>
        <w:rPr>
          <w:rFonts w:eastAsia="Times New Roman"/>
          <w:b/>
          <w:bCs/>
        </w:rPr>
      </w:pPr>
      <w:r w:rsidRPr="00FB16FB">
        <w:rPr>
          <w:rFonts w:eastAsia="Times New Roman"/>
          <w:b/>
          <w:bCs/>
        </w:rPr>
        <w:t>Can CliniSync provide the Format required by ODH?</w:t>
      </w:r>
    </w:p>
    <w:p w14:paraId="5C8B3F4B" w14:textId="77777777" w:rsidR="004D09C9" w:rsidRPr="004D09C9" w:rsidRDefault="004D09C9" w:rsidP="004D09C9">
      <w:pPr>
        <w:pStyle w:val="ListParagraph"/>
        <w:numPr>
          <w:ilvl w:val="1"/>
          <w:numId w:val="5"/>
        </w:numPr>
        <w:rPr>
          <w:b/>
          <w:bCs/>
          <w:sz w:val="20"/>
          <w:szCs w:val="20"/>
        </w:rPr>
      </w:pPr>
      <w:r w:rsidRPr="004D09C9">
        <w:rPr>
          <w:sz w:val="20"/>
          <w:szCs w:val="20"/>
          <w14:ligatures w14:val="none"/>
        </w:rPr>
        <w:t>Guidance</w:t>
      </w:r>
      <w:r w:rsidRPr="004D09C9">
        <w:rPr>
          <w:color w:val="221E1F"/>
          <w:sz w:val="20"/>
          <w:szCs w:val="20"/>
        </w:rPr>
        <w:t xml:space="preserve"> for reporting directly to ODH and access to the manual reporting form can be found on the </w:t>
      </w:r>
      <w:r w:rsidRPr="004D09C9">
        <w:rPr>
          <w:rStyle w:val="A4"/>
          <w:rFonts w:ascii="Calibri" w:hAnsi="Calibri"/>
          <w:b w:val="0"/>
          <w:bCs w:val="0"/>
          <w:color w:val="0070C0"/>
          <w:sz w:val="20"/>
          <w:szCs w:val="20"/>
        </w:rPr>
        <w:t>Emergency Department Drug Overdose Reporting page</w:t>
      </w:r>
      <w:r w:rsidRPr="004D09C9">
        <w:rPr>
          <w:color w:val="221E1F"/>
          <w:sz w:val="20"/>
          <w:szCs w:val="20"/>
        </w:rPr>
        <w:t xml:space="preserve">. For questions about this new rule or reporting directly to ODH, please email </w:t>
      </w:r>
      <w:hyperlink r:id="rId12" w:history="1">
        <w:r w:rsidRPr="004D09C9">
          <w:rPr>
            <w:rStyle w:val="Hyperlink"/>
            <w:color w:val="0070C0"/>
            <w:sz w:val="20"/>
            <w:szCs w:val="20"/>
          </w:rPr>
          <w:t>OverdoseReporting@odh.ohio.gov</w:t>
        </w:r>
      </w:hyperlink>
      <w:r w:rsidRPr="004D09C9">
        <w:rPr>
          <w:color w:val="221E1F"/>
          <w:sz w:val="20"/>
          <w:szCs w:val="20"/>
        </w:rPr>
        <w:t>.</w:t>
      </w:r>
    </w:p>
    <w:p w14:paraId="3DE92504" w14:textId="77777777" w:rsidR="00FC7399" w:rsidRPr="007204B5" w:rsidRDefault="00FC7399" w:rsidP="00FC7399">
      <w:pPr>
        <w:rPr>
          <w:rFonts w:eastAsia="Times New Roman"/>
        </w:rPr>
      </w:pPr>
    </w:p>
    <w:p w14:paraId="2B0D13D4" w14:textId="4F3929F8" w:rsidR="00FC7399" w:rsidRPr="003071E7" w:rsidRDefault="00FC7399" w:rsidP="003071E7">
      <w:pPr>
        <w:pStyle w:val="ListParagraph"/>
        <w:numPr>
          <w:ilvl w:val="0"/>
          <w:numId w:val="5"/>
        </w:numPr>
        <w:contextualSpacing w:val="0"/>
        <w:rPr>
          <w:rFonts w:eastAsia="Times New Roman"/>
          <w:b/>
          <w:bCs/>
        </w:rPr>
      </w:pPr>
      <w:r w:rsidRPr="003071E7">
        <w:rPr>
          <w:rFonts w:eastAsia="Times New Roman"/>
          <w:b/>
          <w:bCs/>
        </w:rPr>
        <w:t xml:space="preserve">What happens if </w:t>
      </w:r>
      <w:r w:rsidR="00A65CD7">
        <w:rPr>
          <w:rFonts w:eastAsia="Times New Roman"/>
          <w:b/>
          <w:bCs/>
        </w:rPr>
        <w:t xml:space="preserve">the </w:t>
      </w:r>
      <w:r w:rsidRPr="003071E7">
        <w:rPr>
          <w:rFonts w:eastAsia="Times New Roman"/>
          <w:b/>
          <w:bCs/>
        </w:rPr>
        <w:t xml:space="preserve">CliniSync feed is down? Will there be a notification process in place like we currently receive for Notify, Results Delivery, Clinical Dispatcher, CHR? </w:t>
      </w:r>
    </w:p>
    <w:p w14:paraId="42A1E409" w14:textId="1AE265B1" w:rsidR="009C4D7A" w:rsidRPr="003071E7" w:rsidRDefault="009C4D7A" w:rsidP="00FB16FB">
      <w:pPr>
        <w:pStyle w:val="ListParagraph"/>
        <w:numPr>
          <w:ilvl w:val="1"/>
          <w:numId w:val="5"/>
        </w:numPr>
        <w:contextualSpacing w:val="0"/>
        <w:rPr>
          <w:rFonts w:eastAsia="Times New Roman"/>
          <w:i/>
          <w:iCs/>
          <w:sz w:val="20"/>
          <w:szCs w:val="20"/>
        </w:rPr>
      </w:pPr>
      <w:r w:rsidRPr="003071E7">
        <w:rPr>
          <w:rFonts w:eastAsia="Times New Roman"/>
          <w:i/>
          <w:iCs/>
          <w:sz w:val="20"/>
          <w:szCs w:val="20"/>
        </w:rPr>
        <w:t>Data will be captured and queued if an incoming feed goes down or there is a problem with the network.  That queued data will be then made available to ODH</w:t>
      </w:r>
      <w:r w:rsidR="003071E7">
        <w:rPr>
          <w:rFonts w:eastAsia="Times New Roman"/>
          <w:i/>
          <w:iCs/>
          <w:sz w:val="20"/>
          <w:szCs w:val="20"/>
        </w:rPr>
        <w:t xml:space="preserve"> when the feed is again active</w:t>
      </w:r>
      <w:r w:rsidRPr="003071E7">
        <w:rPr>
          <w:rFonts w:eastAsia="Times New Roman"/>
          <w:i/>
          <w:iCs/>
          <w:sz w:val="20"/>
          <w:szCs w:val="20"/>
        </w:rPr>
        <w:t xml:space="preserve">.  There will not be a specific notification for this work as the data is pulled from ADT and Lab data from the hospitals </w:t>
      </w:r>
      <w:r w:rsidR="00A65CD7">
        <w:rPr>
          <w:rFonts w:eastAsia="Times New Roman"/>
          <w:i/>
          <w:iCs/>
          <w:sz w:val="20"/>
          <w:szCs w:val="20"/>
        </w:rPr>
        <w:t xml:space="preserve">for </w:t>
      </w:r>
      <w:r w:rsidRPr="003071E7">
        <w:rPr>
          <w:rFonts w:eastAsia="Times New Roman"/>
          <w:i/>
          <w:iCs/>
          <w:sz w:val="20"/>
          <w:szCs w:val="20"/>
        </w:rPr>
        <w:t xml:space="preserve">which there is a notification </w:t>
      </w:r>
      <w:r w:rsidR="00A65CD7">
        <w:rPr>
          <w:rFonts w:eastAsia="Times New Roman"/>
          <w:i/>
          <w:iCs/>
          <w:sz w:val="20"/>
          <w:szCs w:val="20"/>
        </w:rPr>
        <w:t>in place</w:t>
      </w:r>
      <w:r w:rsidRPr="003071E7">
        <w:rPr>
          <w:rFonts w:eastAsia="Times New Roman"/>
          <w:i/>
          <w:iCs/>
          <w:sz w:val="20"/>
          <w:szCs w:val="20"/>
        </w:rPr>
        <w:t>.</w:t>
      </w:r>
    </w:p>
    <w:p w14:paraId="46D0D67F" w14:textId="77777777" w:rsidR="00FC7399" w:rsidRPr="007204B5" w:rsidRDefault="00FC7399" w:rsidP="00FC7399">
      <w:pPr>
        <w:rPr>
          <w:rFonts w:eastAsia="Times New Roman"/>
        </w:rPr>
      </w:pPr>
    </w:p>
    <w:p w14:paraId="03E1C69B" w14:textId="77777777" w:rsidR="00FC7399" w:rsidRPr="007204B5" w:rsidRDefault="00FC7399" w:rsidP="00FC7399">
      <w:pPr>
        <w:rPr>
          <w:rFonts w:eastAsia="Times New Roman"/>
        </w:rPr>
      </w:pPr>
    </w:p>
    <w:p w14:paraId="038B6871" w14:textId="748FD47E" w:rsidR="00263BAE" w:rsidRPr="003071E7" w:rsidRDefault="00263BAE" w:rsidP="003071E7">
      <w:pPr>
        <w:pStyle w:val="ListParagraph"/>
        <w:numPr>
          <w:ilvl w:val="0"/>
          <w:numId w:val="5"/>
        </w:numPr>
        <w:contextualSpacing w:val="0"/>
        <w:rPr>
          <w:rFonts w:eastAsia="Times New Roman"/>
          <w:b/>
          <w:bCs/>
        </w:rPr>
      </w:pPr>
      <w:r w:rsidRPr="003071E7">
        <w:rPr>
          <w:rFonts w:eastAsia="Times New Roman"/>
          <w:b/>
          <w:bCs/>
        </w:rPr>
        <w:t>Will CliniSync send out a letter or certificate stating the hospital is live</w:t>
      </w:r>
      <w:r w:rsidR="00252C2B" w:rsidRPr="003071E7">
        <w:rPr>
          <w:rFonts w:eastAsia="Times New Roman"/>
          <w:b/>
          <w:bCs/>
        </w:rPr>
        <w:t xml:space="preserve"> with CliniSync for reporting? </w:t>
      </w:r>
    </w:p>
    <w:p w14:paraId="2D7746D6" w14:textId="6113573D" w:rsidR="009F4757" w:rsidRPr="003071E7" w:rsidRDefault="0097480C" w:rsidP="00FB16FB">
      <w:pPr>
        <w:pStyle w:val="ListParagraph"/>
        <w:numPr>
          <w:ilvl w:val="1"/>
          <w:numId w:val="5"/>
        </w:numPr>
        <w:contextualSpacing w:val="0"/>
        <w:rPr>
          <w:rFonts w:eastAsia="Times New Roman"/>
          <w:i/>
          <w:iCs/>
          <w:sz w:val="20"/>
          <w:szCs w:val="20"/>
        </w:rPr>
      </w:pPr>
      <w:r w:rsidRPr="003071E7">
        <w:rPr>
          <w:rFonts w:eastAsia="Times New Roman"/>
          <w:i/>
          <w:iCs/>
          <w:sz w:val="20"/>
          <w:szCs w:val="20"/>
        </w:rPr>
        <w:t xml:space="preserve">We will not be providing a letter or certificate.  </w:t>
      </w:r>
      <w:r w:rsidR="00DE7360" w:rsidRPr="003071E7">
        <w:rPr>
          <w:rFonts w:eastAsia="Times New Roman"/>
          <w:i/>
          <w:iCs/>
          <w:sz w:val="20"/>
          <w:szCs w:val="20"/>
        </w:rPr>
        <w:t xml:space="preserve">We are actively working with ODH to establish a process to </w:t>
      </w:r>
      <w:r w:rsidR="003071E7">
        <w:rPr>
          <w:rFonts w:eastAsia="Times New Roman"/>
          <w:i/>
          <w:iCs/>
          <w:sz w:val="20"/>
          <w:szCs w:val="20"/>
        </w:rPr>
        <w:t xml:space="preserve">continually </w:t>
      </w:r>
      <w:r w:rsidR="00DE7360" w:rsidRPr="003071E7">
        <w:rPr>
          <w:rFonts w:eastAsia="Times New Roman"/>
          <w:i/>
          <w:iCs/>
          <w:sz w:val="20"/>
          <w:szCs w:val="20"/>
        </w:rPr>
        <w:t xml:space="preserve">audit hospital reporting </w:t>
      </w:r>
      <w:r w:rsidR="003071E7">
        <w:rPr>
          <w:rFonts w:eastAsia="Times New Roman"/>
          <w:i/>
          <w:iCs/>
          <w:sz w:val="20"/>
          <w:szCs w:val="20"/>
        </w:rPr>
        <w:t xml:space="preserve">and </w:t>
      </w:r>
      <w:r w:rsidR="00DE7360" w:rsidRPr="003071E7">
        <w:rPr>
          <w:rFonts w:eastAsia="Times New Roman"/>
          <w:i/>
          <w:iCs/>
          <w:sz w:val="20"/>
          <w:szCs w:val="20"/>
        </w:rPr>
        <w:t>ensure ongoing compliance with the rule.</w:t>
      </w:r>
    </w:p>
    <w:p w14:paraId="354AE3DD" w14:textId="77777777" w:rsidR="00E306E0" w:rsidRPr="007204B5" w:rsidRDefault="00E306E0" w:rsidP="00E306E0">
      <w:pPr>
        <w:pStyle w:val="ListParagraph"/>
        <w:contextualSpacing w:val="0"/>
        <w:rPr>
          <w:rFonts w:eastAsia="Times New Roman"/>
        </w:rPr>
      </w:pPr>
    </w:p>
    <w:p w14:paraId="5B101C28" w14:textId="77777777" w:rsidR="0097480C" w:rsidRDefault="0097480C" w:rsidP="00E306E0">
      <w:pPr>
        <w:pStyle w:val="ListParagraph"/>
        <w:contextualSpacing w:val="0"/>
        <w:rPr>
          <w:rFonts w:eastAsia="Times New Roman"/>
        </w:rPr>
      </w:pPr>
    </w:p>
    <w:p w14:paraId="66F61D2B" w14:textId="77777777" w:rsidR="007C7F7C" w:rsidRPr="007204B5" w:rsidRDefault="007C7F7C" w:rsidP="00E306E0">
      <w:pPr>
        <w:pStyle w:val="ListParagraph"/>
        <w:contextualSpacing w:val="0"/>
        <w:rPr>
          <w:rFonts w:eastAsia="Times New Roman"/>
        </w:rPr>
      </w:pPr>
    </w:p>
    <w:p w14:paraId="4BC3EFD2" w14:textId="77777777" w:rsidR="003071E7" w:rsidRPr="003071E7" w:rsidRDefault="003071E7" w:rsidP="003071E7">
      <w:pPr>
        <w:pStyle w:val="ListParagraph"/>
        <w:numPr>
          <w:ilvl w:val="0"/>
          <w:numId w:val="5"/>
        </w:numPr>
        <w:contextualSpacing w:val="0"/>
        <w:rPr>
          <w:rFonts w:eastAsia="Times New Roman"/>
          <w:b/>
          <w:bCs/>
        </w:rPr>
      </w:pPr>
      <w:r w:rsidRPr="003071E7">
        <w:rPr>
          <w:rFonts w:eastAsia="Times New Roman"/>
          <w:b/>
          <w:bCs/>
        </w:rPr>
        <w:lastRenderedPageBreak/>
        <w:t>Will there be any sort of audit report showing data was sent successfully?</w:t>
      </w:r>
    </w:p>
    <w:p w14:paraId="36D42B59" w14:textId="54434409" w:rsidR="003071E7" w:rsidRPr="003071E7" w:rsidRDefault="003071E7" w:rsidP="003071E7">
      <w:pPr>
        <w:pStyle w:val="ListParagraph"/>
        <w:numPr>
          <w:ilvl w:val="1"/>
          <w:numId w:val="5"/>
        </w:numPr>
        <w:contextualSpacing w:val="0"/>
        <w:rPr>
          <w:rFonts w:eastAsia="Times New Roman"/>
          <w:i/>
          <w:iCs/>
          <w:sz w:val="20"/>
          <w:szCs w:val="20"/>
        </w:rPr>
      </w:pPr>
      <w:r w:rsidRPr="003071E7">
        <w:rPr>
          <w:i/>
          <w:iCs/>
          <w:sz w:val="20"/>
          <w:szCs w:val="20"/>
        </w:rPr>
        <w:t xml:space="preserve">CliniSync will be researching an option to add reporting information to the return on investment (ROI) reports sent to each hospital quarterly, but there is not a timeline </w:t>
      </w:r>
      <w:r>
        <w:rPr>
          <w:i/>
          <w:iCs/>
          <w:sz w:val="20"/>
          <w:szCs w:val="20"/>
        </w:rPr>
        <w:t>at this time</w:t>
      </w:r>
      <w:r w:rsidRPr="003071E7">
        <w:rPr>
          <w:i/>
          <w:iCs/>
          <w:sz w:val="20"/>
          <w:szCs w:val="20"/>
        </w:rPr>
        <w:t>.</w:t>
      </w:r>
    </w:p>
    <w:p w14:paraId="3D5A37BE" w14:textId="77777777" w:rsidR="00FC7399" w:rsidRPr="007204B5" w:rsidRDefault="00FC7399" w:rsidP="00686AB9"/>
    <w:p w14:paraId="35A03217" w14:textId="77777777" w:rsidR="00FC7399" w:rsidRPr="007204B5" w:rsidRDefault="00FC7399" w:rsidP="008B0DF6">
      <w:pPr>
        <w:contextualSpacing/>
      </w:pPr>
    </w:p>
    <w:p w14:paraId="133205E5" w14:textId="196943A3" w:rsidR="00686AB9" w:rsidRPr="006A2AF2" w:rsidRDefault="00FC7399" w:rsidP="008B0DF6">
      <w:pPr>
        <w:pStyle w:val="ListParagraph"/>
        <w:numPr>
          <w:ilvl w:val="0"/>
          <w:numId w:val="5"/>
        </w:numPr>
        <w:rPr>
          <w:rFonts w:eastAsia="Times New Roman"/>
          <w:b/>
          <w:bCs/>
        </w:rPr>
      </w:pPr>
      <w:r w:rsidRPr="006A2AF2">
        <w:rPr>
          <w:rFonts w:eastAsia="Times New Roman"/>
          <w:b/>
          <w:bCs/>
        </w:rPr>
        <w:t>Will there be any kind of documentation within the patient’s chart that data was sent to ODH?</w:t>
      </w:r>
    </w:p>
    <w:p w14:paraId="1E4FD246" w14:textId="6EBFCCB7" w:rsidR="00FC7399" w:rsidRPr="007204B5" w:rsidRDefault="00FC7399" w:rsidP="008B0DF6">
      <w:pPr>
        <w:pStyle w:val="ListParagraph"/>
        <w:numPr>
          <w:ilvl w:val="1"/>
          <w:numId w:val="5"/>
        </w:numPr>
      </w:pPr>
      <w:r w:rsidRPr="006136D5">
        <w:rPr>
          <w:i/>
          <w:iCs/>
          <w:sz w:val="20"/>
          <w:szCs w:val="20"/>
        </w:rPr>
        <w:t>CliniSync has no ability to access an EHR and input documentation.</w:t>
      </w:r>
    </w:p>
    <w:p w14:paraId="043474F2" w14:textId="77777777" w:rsidR="00FC7399" w:rsidRPr="007204B5" w:rsidRDefault="00FC7399" w:rsidP="008B0DF6">
      <w:pPr>
        <w:contextualSpacing/>
      </w:pPr>
    </w:p>
    <w:p w14:paraId="05142C66" w14:textId="77777777" w:rsidR="00FC7399" w:rsidRPr="007204B5" w:rsidRDefault="00FC7399" w:rsidP="008B0DF6">
      <w:pPr>
        <w:contextualSpacing/>
      </w:pPr>
    </w:p>
    <w:p w14:paraId="7D1D9596" w14:textId="77777777" w:rsidR="00DE7C91" w:rsidRDefault="00DE7C91" w:rsidP="008B0DF6">
      <w:pPr>
        <w:pStyle w:val="ListParagraph"/>
        <w:numPr>
          <w:ilvl w:val="0"/>
          <w:numId w:val="5"/>
        </w:numPr>
        <w:spacing w:after="160"/>
        <w:rPr>
          <w:b/>
          <w:bCs/>
          <w:kern w:val="2"/>
        </w:rPr>
      </w:pPr>
      <w:r>
        <w:rPr>
          <w:b/>
          <w:bCs/>
          <w:kern w:val="2"/>
        </w:rPr>
        <w:t>From what point in time do the reported ICD-10 codes reflect? Are billing codes being sent?</w:t>
      </w:r>
    </w:p>
    <w:p w14:paraId="21EDEF4F" w14:textId="3A6857AA" w:rsidR="00E23AF6" w:rsidRDefault="00E23AF6" w:rsidP="00E23AF6">
      <w:pPr>
        <w:pStyle w:val="ListParagraph"/>
        <w:numPr>
          <w:ilvl w:val="1"/>
          <w:numId w:val="5"/>
        </w:numPr>
        <w:rPr>
          <w:rFonts w:ascii="Aptos" w:eastAsia="Times New Roman" w:hAnsi="Aptos" w:cs="Aptos"/>
          <w:i/>
          <w:iCs/>
          <w:sz w:val="20"/>
          <w:szCs w:val="20"/>
        </w:rPr>
      </w:pPr>
      <w:r>
        <w:rPr>
          <w:rFonts w:eastAsia="Times New Roman"/>
          <w:i/>
          <w:iCs/>
          <w:sz w:val="20"/>
          <w:szCs w:val="20"/>
        </w:rPr>
        <w:t xml:space="preserve">Clinisync is currently sending the codes available at discharge. CliniSync does not get updated data (post visit).  This is administrative data that is not returned to the clinical record.  We are working with all parties to find ways to address unknown diagnosis codes. </w:t>
      </w:r>
    </w:p>
    <w:p w14:paraId="6FD3E816" w14:textId="77777777" w:rsidR="00AE5A41" w:rsidRDefault="00AE5A41" w:rsidP="00AE5A41">
      <w:pPr>
        <w:pStyle w:val="ListParagraph"/>
        <w:spacing w:after="160"/>
        <w:ind w:left="1440"/>
        <w:rPr>
          <w:kern w:val="2"/>
        </w:rPr>
      </w:pPr>
    </w:p>
    <w:p w14:paraId="70321EE6" w14:textId="77777777" w:rsidR="000904E6" w:rsidRPr="00AE5A41" w:rsidRDefault="000904E6" w:rsidP="00AE5A41">
      <w:pPr>
        <w:pStyle w:val="ListParagraph"/>
        <w:spacing w:after="160"/>
        <w:ind w:left="1440"/>
        <w:rPr>
          <w:kern w:val="2"/>
        </w:rPr>
      </w:pPr>
    </w:p>
    <w:p w14:paraId="66AC3AF9" w14:textId="77777777" w:rsidR="007E7EC0" w:rsidRPr="007E7EC0" w:rsidRDefault="008B3201" w:rsidP="00AE5A41">
      <w:pPr>
        <w:pStyle w:val="ListParagraph"/>
        <w:numPr>
          <w:ilvl w:val="0"/>
          <w:numId w:val="5"/>
        </w:numPr>
        <w:spacing w:after="160"/>
        <w:rPr>
          <w:b/>
          <w:bCs/>
          <w:kern w:val="2"/>
        </w:rPr>
      </w:pPr>
      <w:r w:rsidRPr="007E7EC0">
        <w:rPr>
          <w:rFonts w:eastAsia="Times New Roman"/>
          <w:b/>
          <w:bCs/>
          <w:kern w:val="2"/>
        </w:rPr>
        <w:t>We understand that the toxicology will come from the lab but, where In the reporting is the drug OD going to be identified as Accidental, Intentional, an Assault or Undetermined?</w:t>
      </w:r>
    </w:p>
    <w:p w14:paraId="630FE9D0" w14:textId="77777777" w:rsidR="009366A0" w:rsidRPr="009366A0" w:rsidRDefault="007E7EC0" w:rsidP="009366A0">
      <w:pPr>
        <w:pStyle w:val="ListParagraph"/>
        <w:numPr>
          <w:ilvl w:val="1"/>
          <w:numId w:val="5"/>
        </w:numPr>
        <w:spacing w:after="160"/>
        <w:rPr>
          <w:kern w:val="2"/>
        </w:rPr>
      </w:pPr>
      <w:r>
        <w:rPr>
          <w:rFonts w:eastAsia="Times New Roman"/>
          <w:i/>
          <w:iCs/>
          <w:kern w:val="2"/>
          <w:sz w:val="20"/>
          <w:szCs w:val="20"/>
        </w:rPr>
        <w:t>CliniSync</w:t>
      </w:r>
      <w:r w:rsidR="008B3201" w:rsidRPr="007E7EC0">
        <w:rPr>
          <w:rFonts w:eastAsia="Times New Roman"/>
          <w:i/>
          <w:iCs/>
          <w:kern w:val="2"/>
          <w:sz w:val="20"/>
          <w:szCs w:val="20"/>
        </w:rPr>
        <w:t xml:space="preserve"> will report to ODH specifically the ICD-10 codes documented in the rule.</w:t>
      </w:r>
    </w:p>
    <w:p w14:paraId="432D3C5F" w14:textId="77777777" w:rsidR="009366A0" w:rsidRPr="009366A0" w:rsidRDefault="009366A0" w:rsidP="009366A0">
      <w:pPr>
        <w:pStyle w:val="ListParagraph"/>
        <w:spacing w:after="160"/>
        <w:rPr>
          <w:kern w:val="2"/>
        </w:rPr>
      </w:pPr>
    </w:p>
    <w:p w14:paraId="618F6228" w14:textId="77777777" w:rsidR="009366A0" w:rsidRPr="009366A0" w:rsidRDefault="009366A0" w:rsidP="009366A0">
      <w:pPr>
        <w:pStyle w:val="ListParagraph"/>
        <w:spacing w:after="160"/>
        <w:rPr>
          <w:kern w:val="2"/>
        </w:rPr>
      </w:pPr>
    </w:p>
    <w:p w14:paraId="42327F87" w14:textId="19B84E76" w:rsidR="008A2863" w:rsidRPr="008A2863" w:rsidRDefault="008B3201" w:rsidP="009366A0">
      <w:pPr>
        <w:pStyle w:val="ListParagraph"/>
        <w:numPr>
          <w:ilvl w:val="0"/>
          <w:numId w:val="5"/>
        </w:numPr>
        <w:spacing w:after="160"/>
        <w:rPr>
          <w:b/>
          <w:bCs/>
          <w:kern w:val="2"/>
        </w:rPr>
      </w:pPr>
      <w:r w:rsidRPr="008A2863">
        <w:rPr>
          <w:rFonts w:eastAsia="Times New Roman"/>
          <w:b/>
          <w:bCs/>
          <w:kern w:val="2"/>
        </w:rPr>
        <w:t>How will the Epidemiology questions be answered and how they will be fed to Clinisync</w:t>
      </w:r>
      <w:r w:rsidR="008A2863">
        <w:rPr>
          <w:rFonts w:eastAsia="Times New Roman"/>
          <w:b/>
          <w:bCs/>
          <w:kern w:val="2"/>
        </w:rPr>
        <w:t>?</w:t>
      </w:r>
    </w:p>
    <w:p w14:paraId="20CED38F" w14:textId="69F250B3" w:rsidR="008B3201" w:rsidRPr="008A2863" w:rsidRDefault="003A657F" w:rsidP="008A2863">
      <w:pPr>
        <w:pStyle w:val="ListParagraph"/>
        <w:numPr>
          <w:ilvl w:val="1"/>
          <w:numId w:val="5"/>
        </w:numPr>
        <w:spacing w:after="160"/>
        <w:rPr>
          <w:kern w:val="2"/>
          <w:sz w:val="20"/>
          <w:szCs w:val="20"/>
        </w:rPr>
      </w:pPr>
      <w:r>
        <w:rPr>
          <w:rFonts w:eastAsia="Times New Roman"/>
          <w:i/>
          <w:iCs/>
          <w:kern w:val="2"/>
          <w:sz w:val="20"/>
          <w:szCs w:val="20"/>
        </w:rPr>
        <w:t xml:space="preserve">Epidemiology </w:t>
      </w:r>
      <w:r w:rsidR="008B3201" w:rsidRPr="008A2863">
        <w:rPr>
          <w:rFonts w:eastAsia="Times New Roman"/>
          <w:i/>
          <w:iCs/>
          <w:kern w:val="2"/>
          <w:sz w:val="20"/>
          <w:szCs w:val="20"/>
        </w:rPr>
        <w:t>data is not reported to Clini</w:t>
      </w:r>
      <w:r w:rsidR="00A82420">
        <w:rPr>
          <w:rFonts w:eastAsia="Times New Roman"/>
          <w:i/>
          <w:iCs/>
          <w:kern w:val="2"/>
          <w:sz w:val="20"/>
          <w:szCs w:val="20"/>
        </w:rPr>
        <w:t xml:space="preserve">Sync </w:t>
      </w:r>
      <w:r w:rsidR="00A82420" w:rsidRPr="008A2863">
        <w:rPr>
          <w:rFonts w:eastAsia="Times New Roman"/>
          <w:i/>
          <w:iCs/>
          <w:kern w:val="2"/>
          <w:sz w:val="20"/>
          <w:szCs w:val="20"/>
        </w:rPr>
        <w:t>in the ADT and/or DG1 segment</w:t>
      </w:r>
      <w:r w:rsidR="000D451F">
        <w:rPr>
          <w:rFonts w:eastAsia="Times New Roman"/>
          <w:i/>
          <w:iCs/>
          <w:kern w:val="2"/>
          <w:sz w:val="20"/>
          <w:szCs w:val="20"/>
        </w:rPr>
        <w:t xml:space="preserve"> and ODH knows it will not be report</w:t>
      </w:r>
      <w:r w:rsidR="000F46CB">
        <w:rPr>
          <w:rFonts w:eastAsia="Times New Roman"/>
          <w:i/>
          <w:iCs/>
          <w:kern w:val="2"/>
          <w:sz w:val="20"/>
          <w:szCs w:val="20"/>
        </w:rPr>
        <w:t>ed</w:t>
      </w:r>
      <w:r w:rsidR="000D451F">
        <w:rPr>
          <w:rFonts w:eastAsia="Times New Roman"/>
          <w:i/>
          <w:iCs/>
          <w:kern w:val="2"/>
          <w:sz w:val="20"/>
          <w:szCs w:val="20"/>
        </w:rPr>
        <w:t xml:space="preserve"> at this time.  The epidemiology section includes questions that could, when available, provide context of the event.</w:t>
      </w:r>
      <w:r w:rsidR="008B3201" w:rsidRPr="008A2863">
        <w:rPr>
          <w:rFonts w:eastAsia="Times New Roman"/>
          <w:i/>
          <w:iCs/>
          <w:kern w:val="2"/>
          <w:sz w:val="20"/>
          <w:szCs w:val="20"/>
        </w:rPr>
        <w:t xml:space="preserve"> </w:t>
      </w:r>
    </w:p>
    <w:p w14:paraId="3996C9D0" w14:textId="77777777" w:rsidR="008B3201" w:rsidRPr="008B3201" w:rsidRDefault="008B3201" w:rsidP="008B3201">
      <w:pPr>
        <w:spacing w:after="160" w:line="259" w:lineRule="auto"/>
        <w:ind w:left="720"/>
        <w:contextualSpacing/>
        <w:rPr>
          <w:rFonts w:eastAsia="Times New Roman"/>
          <w:kern w:val="2"/>
        </w:rPr>
      </w:pPr>
    </w:p>
    <w:p w14:paraId="68C8FCE0" w14:textId="77777777" w:rsidR="008B3201" w:rsidRPr="008B3201" w:rsidRDefault="008B3201" w:rsidP="008B3201">
      <w:pPr>
        <w:rPr>
          <w:rFonts w:eastAsia="Times New Roman"/>
          <w:i/>
          <w:iCs/>
          <w:color w:val="FF0000"/>
          <w:kern w:val="2"/>
        </w:rPr>
      </w:pPr>
    </w:p>
    <w:p w14:paraId="019A0A7A" w14:textId="77777777" w:rsidR="008B3201" w:rsidRPr="008B3201" w:rsidRDefault="008B3201" w:rsidP="008B3201">
      <w:pPr>
        <w:spacing w:after="160" w:line="259" w:lineRule="auto"/>
        <w:rPr>
          <w:rFonts w:asciiTheme="minorHAnsi" w:hAnsiTheme="minorHAnsi" w:cstheme="minorBidi"/>
          <w:kern w:val="2"/>
        </w:rPr>
      </w:pPr>
    </w:p>
    <w:p w14:paraId="0784D599" w14:textId="77777777" w:rsidR="00FC7399" w:rsidRPr="007204B5" w:rsidRDefault="00FC7399" w:rsidP="00FC7399"/>
    <w:p w14:paraId="248F89D4" w14:textId="77777777" w:rsidR="00FC7399" w:rsidRPr="007204B5" w:rsidRDefault="00FC7399" w:rsidP="00FC7399"/>
    <w:p w14:paraId="7D301FEB" w14:textId="77777777" w:rsidR="00FC7399" w:rsidRPr="007204B5" w:rsidRDefault="00FC7399" w:rsidP="00FC7399"/>
    <w:p w14:paraId="14D87E09" w14:textId="77777777" w:rsidR="00FC7399" w:rsidRPr="007204B5" w:rsidRDefault="00FC7399" w:rsidP="00FC7399"/>
    <w:sectPr w:rsidR="00FC7399" w:rsidRPr="007204B5" w:rsidSect="00EA7BD1">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DFC11" w14:textId="77777777" w:rsidR="00EA7BD1" w:rsidRDefault="00EA7BD1" w:rsidP="00FC7399">
      <w:r>
        <w:separator/>
      </w:r>
    </w:p>
  </w:endnote>
  <w:endnote w:type="continuationSeparator" w:id="0">
    <w:p w14:paraId="4F9E4294" w14:textId="77777777" w:rsidR="00EA7BD1" w:rsidRDefault="00EA7BD1" w:rsidP="00FC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106578"/>
      <w:docPartObj>
        <w:docPartGallery w:val="Page Numbers (Bottom of Page)"/>
        <w:docPartUnique/>
      </w:docPartObj>
    </w:sdtPr>
    <w:sdtEndPr>
      <w:rPr>
        <w:color w:val="7F7F7F" w:themeColor="background1" w:themeShade="7F"/>
        <w:spacing w:val="60"/>
      </w:rPr>
    </w:sdtEndPr>
    <w:sdtContent>
      <w:p w14:paraId="2F1F957F" w14:textId="44A2D3D8" w:rsidR="00FB16FB" w:rsidRDefault="00FB16F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4E4DE80" w14:textId="77777777" w:rsidR="00FB16FB" w:rsidRDefault="00FB1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58EA9" w14:textId="77777777" w:rsidR="00EA7BD1" w:rsidRDefault="00EA7BD1" w:rsidP="00FC7399">
      <w:r>
        <w:separator/>
      </w:r>
    </w:p>
  </w:footnote>
  <w:footnote w:type="continuationSeparator" w:id="0">
    <w:p w14:paraId="4216F342" w14:textId="77777777" w:rsidR="00EA7BD1" w:rsidRDefault="00EA7BD1" w:rsidP="00FC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DEE7" w14:textId="4665B3AE" w:rsidR="006136D5" w:rsidRDefault="006136D5">
    <w:pPr>
      <w:pStyle w:val="Header"/>
    </w:pPr>
    <w:r>
      <w:rPr>
        <w:noProof/>
      </w:rPr>
      <w:drawing>
        <wp:inline distT="0" distB="0" distL="0" distR="0" wp14:anchorId="46AAFEB1" wp14:editId="34AEC20D">
          <wp:extent cx="1049571" cy="699714"/>
          <wp:effectExtent l="0" t="0" r="0" b="0"/>
          <wp:docPr id="904761162" name="Picture 1" descr="A logo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61162" name="Picture 1" descr="A logo with red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9068" cy="706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02B27"/>
    <w:multiLevelType w:val="hybridMultilevel"/>
    <w:tmpl w:val="5AD072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FFA0451"/>
    <w:multiLevelType w:val="hybridMultilevel"/>
    <w:tmpl w:val="16D8CA20"/>
    <w:lvl w:ilvl="0" w:tplc="00A2936C">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4E122A"/>
    <w:multiLevelType w:val="hybridMultilevel"/>
    <w:tmpl w:val="FE68A500"/>
    <w:lvl w:ilvl="0" w:tplc="55D0678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F4B3C"/>
    <w:multiLevelType w:val="hybridMultilevel"/>
    <w:tmpl w:val="70E6A1A6"/>
    <w:lvl w:ilvl="0" w:tplc="FFFFFFFF">
      <w:start w:val="1"/>
      <w:numFmt w:val="decimal"/>
      <w:lvlText w:val="%1."/>
      <w:lvlJc w:val="left"/>
      <w:pPr>
        <w:ind w:left="720" w:hanging="360"/>
      </w:pPr>
      <w:rPr>
        <w:rFonts w:ascii="Aptos" w:hAnsi="Aptos"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349109E"/>
    <w:multiLevelType w:val="hybridMultilevel"/>
    <w:tmpl w:val="15D272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C46B18"/>
    <w:multiLevelType w:val="hybridMultilevel"/>
    <w:tmpl w:val="CF94031A"/>
    <w:lvl w:ilvl="0" w:tplc="DEB2EC24">
      <w:start w:val="1"/>
      <w:numFmt w:val="decimal"/>
      <w:lvlText w:val="%1."/>
      <w:lvlJc w:val="left"/>
      <w:pPr>
        <w:ind w:left="720" w:hanging="360"/>
      </w:pPr>
      <w:rPr>
        <w:rFonts w:ascii="Aptos" w:hAnsi="Apto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7D31943"/>
    <w:multiLevelType w:val="hybridMultilevel"/>
    <w:tmpl w:val="5EAA169E"/>
    <w:lvl w:ilvl="0" w:tplc="301855E6">
      <w:start w:val="3"/>
      <w:numFmt w:val="decimal"/>
      <w:lvlText w:val="%1."/>
      <w:lvlJc w:val="left"/>
      <w:pPr>
        <w:ind w:left="720" w:hanging="360"/>
      </w:pPr>
      <w:rPr>
        <w:rFonts w:ascii="Aptos" w:hAnsi="Aptos"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72650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3884320">
    <w:abstractNumId w:val="5"/>
  </w:num>
  <w:num w:numId="3" w16cid:durableId="1482507005">
    <w:abstractNumId w:val="1"/>
  </w:num>
  <w:num w:numId="4" w16cid:durableId="174879428">
    <w:abstractNumId w:val="4"/>
  </w:num>
  <w:num w:numId="5" w16cid:durableId="1336299540">
    <w:abstractNumId w:val="6"/>
  </w:num>
  <w:num w:numId="6" w16cid:durableId="1963919777">
    <w:abstractNumId w:val="3"/>
  </w:num>
  <w:num w:numId="7" w16cid:durableId="345906071">
    <w:abstractNumId w:val="2"/>
  </w:num>
  <w:num w:numId="8" w16cid:durableId="1790006912">
    <w:abstractNumId w:val="0"/>
  </w:num>
  <w:num w:numId="9" w16cid:durableId="206124907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99"/>
    <w:rsid w:val="00035E56"/>
    <w:rsid w:val="00037A52"/>
    <w:rsid w:val="000904E6"/>
    <w:rsid w:val="000B47A9"/>
    <w:rsid w:val="000D451F"/>
    <w:rsid w:val="000F46CB"/>
    <w:rsid w:val="001139B5"/>
    <w:rsid w:val="001304D8"/>
    <w:rsid w:val="00185A4F"/>
    <w:rsid w:val="00197980"/>
    <w:rsid w:val="001D1B2B"/>
    <w:rsid w:val="00252C2B"/>
    <w:rsid w:val="00263BAE"/>
    <w:rsid w:val="0026563A"/>
    <w:rsid w:val="00265A50"/>
    <w:rsid w:val="00281146"/>
    <w:rsid w:val="00293A45"/>
    <w:rsid w:val="002B39E3"/>
    <w:rsid w:val="002E3AF7"/>
    <w:rsid w:val="003071E7"/>
    <w:rsid w:val="003215B1"/>
    <w:rsid w:val="0035517F"/>
    <w:rsid w:val="003A657F"/>
    <w:rsid w:val="003A6B9C"/>
    <w:rsid w:val="003D3515"/>
    <w:rsid w:val="003E2E49"/>
    <w:rsid w:val="003F1E94"/>
    <w:rsid w:val="00400EF8"/>
    <w:rsid w:val="00467DFD"/>
    <w:rsid w:val="004A46BE"/>
    <w:rsid w:val="004D09C9"/>
    <w:rsid w:val="005D2C8C"/>
    <w:rsid w:val="005D4DD6"/>
    <w:rsid w:val="005D72D9"/>
    <w:rsid w:val="005E3964"/>
    <w:rsid w:val="005F30DC"/>
    <w:rsid w:val="006136D5"/>
    <w:rsid w:val="00652C7B"/>
    <w:rsid w:val="006630EF"/>
    <w:rsid w:val="006714FA"/>
    <w:rsid w:val="00681522"/>
    <w:rsid w:val="00686AB9"/>
    <w:rsid w:val="006A2AF2"/>
    <w:rsid w:val="006E4FA1"/>
    <w:rsid w:val="007204B5"/>
    <w:rsid w:val="00784D73"/>
    <w:rsid w:val="007C7F7C"/>
    <w:rsid w:val="007E7EC0"/>
    <w:rsid w:val="008036E2"/>
    <w:rsid w:val="00866787"/>
    <w:rsid w:val="008A2863"/>
    <w:rsid w:val="008B0DF6"/>
    <w:rsid w:val="008B3201"/>
    <w:rsid w:val="008F698D"/>
    <w:rsid w:val="009366A0"/>
    <w:rsid w:val="00960358"/>
    <w:rsid w:val="0097480C"/>
    <w:rsid w:val="0099169F"/>
    <w:rsid w:val="00997305"/>
    <w:rsid w:val="009C4D7A"/>
    <w:rsid w:val="009C58D7"/>
    <w:rsid w:val="009E2FE2"/>
    <w:rsid w:val="009F4757"/>
    <w:rsid w:val="00A04EF9"/>
    <w:rsid w:val="00A65CD7"/>
    <w:rsid w:val="00A82420"/>
    <w:rsid w:val="00AE5A41"/>
    <w:rsid w:val="00B01291"/>
    <w:rsid w:val="00B12BE5"/>
    <w:rsid w:val="00B16B80"/>
    <w:rsid w:val="00B40903"/>
    <w:rsid w:val="00D31876"/>
    <w:rsid w:val="00D62538"/>
    <w:rsid w:val="00D76602"/>
    <w:rsid w:val="00DE7360"/>
    <w:rsid w:val="00DE7C91"/>
    <w:rsid w:val="00DF4187"/>
    <w:rsid w:val="00E12AC7"/>
    <w:rsid w:val="00E23AF6"/>
    <w:rsid w:val="00E306E0"/>
    <w:rsid w:val="00E576BB"/>
    <w:rsid w:val="00E761F7"/>
    <w:rsid w:val="00E86478"/>
    <w:rsid w:val="00EA6329"/>
    <w:rsid w:val="00EA7BD1"/>
    <w:rsid w:val="00F4558E"/>
    <w:rsid w:val="00F52D6B"/>
    <w:rsid w:val="00FB16FB"/>
    <w:rsid w:val="00FC7399"/>
    <w:rsid w:val="00FE26C0"/>
    <w:rsid w:val="00FE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5160A"/>
  <w15:chartTrackingRefBased/>
  <w15:docId w15:val="{335FF1D7-B6FF-43C0-A17A-77DACA2E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399"/>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FC7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3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3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3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3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3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3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3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399"/>
    <w:rPr>
      <w:rFonts w:eastAsiaTheme="majorEastAsia" w:cstheme="majorBidi"/>
      <w:color w:val="272727" w:themeColor="text1" w:themeTint="D8"/>
    </w:rPr>
  </w:style>
  <w:style w:type="paragraph" w:styleId="Title">
    <w:name w:val="Title"/>
    <w:basedOn w:val="Normal"/>
    <w:next w:val="Normal"/>
    <w:link w:val="TitleChar"/>
    <w:uiPriority w:val="10"/>
    <w:qFormat/>
    <w:rsid w:val="00FC73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3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399"/>
    <w:pPr>
      <w:spacing w:before="160"/>
      <w:jc w:val="center"/>
    </w:pPr>
    <w:rPr>
      <w:i/>
      <w:iCs/>
      <w:color w:val="404040" w:themeColor="text1" w:themeTint="BF"/>
    </w:rPr>
  </w:style>
  <w:style w:type="character" w:customStyle="1" w:styleId="QuoteChar">
    <w:name w:val="Quote Char"/>
    <w:basedOn w:val="DefaultParagraphFont"/>
    <w:link w:val="Quote"/>
    <w:uiPriority w:val="29"/>
    <w:rsid w:val="00FC7399"/>
    <w:rPr>
      <w:i/>
      <w:iCs/>
      <w:color w:val="404040" w:themeColor="text1" w:themeTint="BF"/>
    </w:rPr>
  </w:style>
  <w:style w:type="paragraph" w:styleId="ListParagraph">
    <w:name w:val="List Paragraph"/>
    <w:basedOn w:val="Normal"/>
    <w:uiPriority w:val="34"/>
    <w:qFormat/>
    <w:rsid w:val="00FC7399"/>
    <w:pPr>
      <w:ind w:left="720"/>
      <w:contextualSpacing/>
    </w:pPr>
  </w:style>
  <w:style w:type="character" w:styleId="IntenseEmphasis">
    <w:name w:val="Intense Emphasis"/>
    <w:basedOn w:val="DefaultParagraphFont"/>
    <w:uiPriority w:val="21"/>
    <w:qFormat/>
    <w:rsid w:val="00FC7399"/>
    <w:rPr>
      <w:i/>
      <w:iCs/>
      <w:color w:val="0F4761" w:themeColor="accent1" w:themeShade="BF"/>
    </w:rPr>
  </w:style>
  <w:style w:type="paragraph" w:styleId="IntenseQuote">
    <w:name w:val="Intense Quote"/>
    <w:basedOn w:val="Normal"/>
    <w:next w:val="Normal"/>
    <w:link w:val="IntenseQuoteChar"/>
    <w:uiPriority w:val="30"/>
    <w:qFormat/>
    <w:rsid w:val="00FC7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399"/>
    <w:rPr>
      <w:i/>
      <w:iCs/>
      <w:color w:val="0F4761" w:themeColor="accent1" w:themeShade="BF"/>
    </w:rPr>
  </w:style>
  <w:style w:type="character" w:styleId="IntenseReference">
    <w:name w:val="Intense Reference"/>
    <w:basedOn w:val="DefaultParagraphFont"/>
    <w:uiPriority w:val="32"/>
    <w:qFormat/>
    <w:rsid w:val="00FC7399"/>
    <w:rPr>
      <w:b/>
      <w:bCs/>
      <w:smallCaps/>
      <w:color w:val="0F4761" w:themeColor="accent1" w:themeShade="BF"/>
      <w:spacing w:val="5"/>
    </w:rPr>
  </w:style>
  <w:style w:type="character" w:styleId="Hyperlink">
    <w:name w:val="Hyperlink"/>
    <w:basedOn w:val="DefaultParagraphFont"/>
    <w:uiPriority w:val="99"/>
    <w:unhideWhenUsed/>
    <w:rsid w:val="00FC7399"/>
    <w:rPr>
      <w:color w:val="0563C1"/>
      <w:u w:val="single"/>
    </w:rPr>
  </w:style>
  <w:style w:type="paragraph" w:styleId="Header">
    <w:name w:val="header"/>
    <w:basedOn w:val="Normal"/>
    <w:link w:val="HeaderChar"/>
    <w:uiPriority w:val="99"/>
    <w:unhideWhenUsed/>
    <w:rsid w:val="00FC7399"/>
    <w:pPr>
      <w:tabs>
        <w:tab w:val="center" w:pos="4680"/>
        <w:tab w:val="right" w:pos="9360"/>
      </w:tabs>
    </w:pPr>
  </w:style>
  <w:style w:type="character" w:customStyle="1" w:styleId="HeaderChar">
    <w:name w:val="Header Char"/>
    <w:basedOn w:val="DefaultParagraphFont"/>
    <w:link w:val="Header"/>
    <w:uiPriority w:val="99"/>
    <w:rsid w:val="00FC7399"/>
    <w:rPr>
      <w:rFonts w:ascii="Calibri" w:hAnsi="Calibri" w:cs="Calibri"/>
      <w:kern w:val="0"/>
    </w:rPr>
  </w:style>
  <w:style w:type="paragraph" w:styleId="Footer">
    <w:name w:val="footer"/>
    <w:basedOn w:val="Normal"/>
    <w:link w:val="FooterChar"/>
    <w:uiPriority w:val="99"/>
    <w:unhideWhenUsed/>
    <w:rsid w:val="00FC7399"/>
    <w:pPr>
      <w:tabs>
        <w:tab w:val="center" w:pos="4680"/>
        <w:tab w:val="right" w:pos="9360"/>
      </w:tabs>
    </w:pPr>
  </w:style>
  <w:style w:type="character" w:customStyle="1" w:styleId="FooterChar">
    <w:name w:val="Footer Char"/>
    <w:basedOn w:val="DefaultParagraphFont"/>
    <w:link w:val="Footer"/>
    <w:uiPriority w:val="99"/>
    <w:rsid w:val="00FC7399"/>
    <w:rPr>
      <w:rFonts w:ascii="Calibri" w:hAnsi="Calibri" w:cs="Calibri"/>
      <w:kern w:val="0"/>
    </w:rPr>
  </w:style>
  <w:style w:type="paragraph" w:styleId="Revision">
    <w:name w:val="Revision"/>
    <w:hidden/>
    <w:uiPriority w:val="99"/>
    <w:semiHidden/>
    <w:rsid w:val="009C4D7A"/>
    <w:pPr>
      <w:spacing w:after="0" w:line="240" w:lineRule="auto"/>
    </w:pPr>
    <w:rPr>
      <w:rFonts w:ascii="Calibri" w:hAnsi="Calibri" w:cs="Calibri"/>
      <w:kern w:val="0"/>
    </w:rPr>
  </w:style>
  <w:style w:type="character" w:styleId="UnresolvedMention">
    <w:name w:val="Unresolved Mention"/>
    <w:basedOn w:val="DefaultParagraphFont"/>
    <w:uiPriority w:val="99"/>
    <w:semiHidden/>
    <w:unhideWhenUsed/>
    <w:rsid w:val="00686AB9"/>
    <w:rPr>
      <w:color w:val="605E5C"/>
      <w:shd w:val="clear" w:color="auto" w:fill="E1DFDD"/>
    </w:rPr>
  </w:style>
  <w:style w:type="paragraph" w:styleId="NormalWeb">
    <w:name w:val="Normal (Web)"/>
    <w:basedOn w:val="Normal"/>
    <w:uiPriority w:val="99"/>
    <w:unhideWhenUsed/>
    <w:rsid w:val="0099169F"/>
    <w:pPr>
      <w:spacing w:before="100" w:beforeAutospacing="1" w:after="100" w:afterAutospacing="1"/>
    </w:pPr>
    <w:rPr>
      <w:rFonts w:ascii="Aptos" w:hAnsi="Aptos" w:cs="Aptos"/>
      <w:sz w:val="24"/>
      <w:szCs w:val="24"/>
      <w14:ligatures w14:val="none"/>
    </w:rPr>
  </w:style>
  <w:style w:type="character" w:styleId="CommentReference">
    <w:name w:val="annotation reference"/>
    <w:basedOn w:val="DefaultParagraphFont"/>
    <w:uiPriority w:val="99"/>
    <w:semiHidden/>
    <w:unhideWhenUsed/>
    <w:rsid w:val="006136D5"/>
    <w:rPr>
      <w:sz w:val="16"/>
      <w:szCs w:val="16"/>
    </w:rPr>
  </w:style>
  <w:style w:type="paragraph" w:styleId="CommentText">
    <w:name w:val="annotation text"/>
    <w:basedOn w:val="Normal"/>
    <w:link w:val="CommentTextChar"/>
    <w:uiPriority w:val="99"/>
    <w:unhideWhenUsed/>
    <w:rsid w:val="006136D5"/>
    <w:rPr>
      <w:sz w:val="20"/>
      <w:szCs w:val="20"/>
    </w:rPr>
  </w:style>
  <w:style w:type="character" w:customStyle="1" w:styleId="CommentTextChar">
    <w:name w:val="Comment Text Char"/>
    <w:basedOn w:val="DefaultParagraphFont"/>
    <w:link w:val="CommentText"/>
    <w:uiPriority w:val="99"/>
    <w:rsid w:val="006136D5"/>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6136D5"/>
    <w:rPr>
      <w:b/>
      <w:bCs/>
    </w:rPr>
  </w:style>
  <w:style w:type="character" w:customStyle="1" w:styleId="CommentSubjectChar">
    <w:name w:val="Comment Subject Char"/>
    <w:basedOn w:val="CommentTextChar"/>
    <w:link w:val="CommentSubject"/>
    <w:uiPriority w:val="99"/>
    <w:semiHidden/>
    <w:rsid w:val="006136D5"/>
    <w:rPr>
      <w:rFonts w:ascii="Calibri" w:hAnsi="Calibri" w:cs="Calibri"/>
      <w:b/>
      <w:bCs/>
      <w:kern w:val="0"/>
      <w:sz w:val="20"/>
      <w:szCs w:val="20"/>
    </w:rPr>
  </w:style>
  <w:style w:type="character" w:customStyle="1" w:styleId="A4">
    <w:name w:val="A4"/>
    <w:basedOn w:val="DefaultParagraphFont"/>
    <w:uiPriority w:val="99"/>
    <w:rsid w:val="00F52D6B"/>
    <w:rPr>
      <w:rFonts w:ascii="Source Sans Pro" w:hAnsi="Source Sans Pro" w:hint="default"/>
      <w:b/>
      <w:bCs/>
      <w:color w:val="009CD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1593">
      <w:bodyDiv w:val="1"/>
      <w:marLeft w:val="0"/>
      <w:marRight w:val="0"/>
      <w:marTop w:val="0"/>
      <w:marBottom w:val="0"/>
      <w:divBdr>
        <w:top w:val="none" w:sz="0" w:space="0" w:color="auto"/>
        <w:left w:val="none" w:sz="0" w:space="0" w:color="auto"/>
        <w:bottom w:val="none" w:sz="0" w:space="0" w:color="auto"/>
        <w:right w:val="none" w:sz="0" w:space="0" w:color="auto"/>
      </w:divBdr>
    </w:div>
    <w:div w:id="213853970">
      <w:bodyDiv w:val="1"/>
      <w:marLeft w:val="0"/>
      <w:marRight w:val="0"/>
      <w:marTop w:val="0"/>
      <w:marBottom w:val="0"/>
      <w:divBdr>
        <w:top w:val="none" w:sz="0" w:space="0" w:color="auto"/>
        <w:left w:val="none" w:sz="0" w:space="0" w:color="auto"/>
        <w:bottom w:val="none" w:sz="0" w:space="0" w:color="auto"/>
        <w:right w:val="none" w:sz="0" w:space="0" w:color="auto"/>
      </w:divBdr>
    </w:div>
    <w:div w:id="379551029">
      <w:bodyDiv w:val="1"/>
      <w:marLeft w:val="0"/>
      <w:marRight w:val="0"/>
      <w:marTop w:val="0"/>
      <w:marBottom w:val="0"/>
      <w:divBdr>
        <w:top w:val="none" w:sz="0" w:space="0" w:color="auto"/>
        <w:left w:val="none" w:sz="0" w:space="0" w:color="auto"/>
        <w:bottom w:val="none" w:sz="0" w:space="0" w:color="auto"/>
        <w:right w:val="none" w:sz="0" w:space="0" w:color="auto"/>
      </w:divBdr>
    </w:div>
    <w:div w:id="402872188">
      <w:bodyDiv w:val="1"/>
      <w:marLeft w:val="0"/>
      <w:marRight w:val="0"/>
      <w:marTop w:val="0"/>
      <w:marBottom w:val="0"/>
      <w:divBdr>
        <w:top w:val="none" w:sz="0" w:space="0" w:color="auto"/>
        <w:left w:val="none" w:sz="0" w:space="0" w:color="auto"/>
        <w:bottom w:val="none" w:sz="0" w:space="0" w:color="auto"/>
        <w:right w:val="none" w:sz="0" w:space="0" w:color="auto"/>
      </w:divBdr>
    </w:div>
    <w:div w:id="888496099">
      <w:bodyDiv w:val="1"/>
      <w:marLeft w:val="0"/>
      <w:marRight w:val="0"/>
      <w:marTop w:val="0"/>
      <w:marBottom w:val="0"/>
      <w:divBdr>
        <w:top w:val="none" w:sz="0" w:space="0" w:color="auto"/>
        <w:left w:val="none" w:sz="0" w:space="0" w:color="auto"/>
        <w:bottom w:val="none" w:sz="0" w:space="0" w:color="auto"/>
        <w:right w:val="none" w:sz="0" w:space="0" w:color="auto"/>
      </w:divBdr>
    </w:div>
    <w:div w:id="1307972067">
      <w:bodyDiv w:val="1"/>
      <w:marLeft w:val="0"/>
      <w:marRight w:val="0"/>
      <w:marTop w:val="0"/>
      <w:marBottom w:val="0"/>
      <w:divBdr>
        <w:top w:val="none" w:sz="0" w:space="0" w:color="auto"/>
        <w:left w:val="none" w:sz="0" w:space="0" w:color="auto"/>
        <w:bottom w:val="none" w:sz="0" w:space="0" w:color="auto"/>
        <w:right w:val="none" w:sz="0" w:space="0" w:color="auto"/>
      </w:divBdr>
    </w:div>
    <w:div w:id="17283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registerofohio.state.oh.us/rules/search/details/340504__;!!It2LiPzrIFE!v2V-Ks-jpvQfVAoUv_uzs8kUmikr8u1dQqVZSXQRaXSE4c4ZCvIrHx9CsfvjjFLW165acwXHsmvG-FlxG_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nnen@ohiponline.org" TargetMode="External"/><Relationship Id="rId12" Type="http://schemas.openxmlformats.org/officeDocument/2006/relationships/hyperlink" Target="http://OverdoseReporting@odh.ohio.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clinisync.org/wp-content/uploads/2024/02/ODH-Overdose-Rule-CliniSync-Opt-Out-Form.pdf__;!!It2LiPzrIFE!v2V-Ks-jpvQfVAoUv_uzs8kUmikr8u1dQqVZSXQRaXSE4c4ZCvIrHx9CsfvjjFLW165acwXHsmvGox35dw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ldefense.com/v3/__https:/clinisync.org/wp-content/uploads/2024/02/ODH-Overdose-Rule-CliniSync-Opt-Out-Form.pdf__;!!It2LiPzrIFE!v2V-Ks-jpvQfVAoUv_uzs8kUmikr8u1dQqVZSXQRaXSE4c4ZCvIrHx9CsfvjjFLW165acwXHsmvGox35dw4$" TargetMode="External"/><Relationship Id="rId4" Type="http://schemas.openxmlformats.org/officeDocument/2006/relationships/webSettings" Target="webSettings.xml"/><Relationship Id="rId9" Type="http://schemas.openxmlformats.org/officeDocument/2006/relationships/hyperlink" Target="mailto:pennen@ohiponlin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Ennen</dc:creator>
  <cp:keywords/>
  <dc:description/>
  <cp:lastModifiedBy>Phil Ennen</cp:lastModifiedBy>
  <cp:revision>11</cp:revision>
  <dcterms:created xsi:type="dcterms:W3CDTF">2024-04-24T20:10:00Z</dcterms:created>
  <dcterms:modified xsi:type="dcterms:W3CDTF">2024-05-01T16:00:00Z</dcterms:modified>
</cp:coreProperties>
</file>